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AD106A" w:rsidRPr="007F2000" w14:paraId="0BECCDC2" w14:textId="77777777">
        <w:tc>
          <w:tcPr>
            <w:tcW w:w="3539" w:type="dxa"/>
          </w:tcPr>
          <w:p w14:paraId="3E0246CE" w14:textId="77777777" w:rsidR="00AD106A" w:rsidRPr="007F2000" w:rsidRDefault="00AD106A" w:rsidP="00AD106A">
            <w:pPr>
              <w:rPr>
                <w:b/>
              </w:rPr>
            </w:pPr>
            <w:r w:rsidRPr="007F2000">
              <w:rPr>
                <w:b/>
              </w:rPr>
              <w:t>Nombre de la entidad pública:</w:t>
            </w:r>
          </w:p>
        </w:tc>
        <w:tc>
          <w:tcPr>
            <w:tcW w:w="4955" w:type="dxa"/>
          </w:tcPr>
          <w:p w14:paraId="7863136A" w14:textId="2D574A12" w:rsidR="00AD106A" w:rsidRPr="007F2000" w:rsidRDefault="00AD106A" w:rsidP="00AD106A">
            <w:r>
              <w:rPr>
                <w:rFonts w:ascii="Arial" w:hAnsi="Arial" w:cs="Arial"/>
                <w:color w:val="000000"/>
                <w:sz w:val="18"/>
                <w:szCs w:val="18"/>
              </w:rPr>
              <w:t>Ministerio de Educación</w:t>
            </w:r>
          </w:p>
        </w:tc>
      </w:tr>
      <w:tr w:rsidR="00AD106A" w:rsidRPr="007F2000" w14:paraId="78C4B0FE" w14:textId="77777777">
        <w:tc>
          <w:tcPr>
            <w:tcW w:w="3539" w:type="dxa"/>
          </w:tcPr>
          <w:p w14:paraId="169E55E2" w14:textId="77777777" w:rsidR="00AD106A" w:rsidRPr="007F2000" w:rsidRDefault="00AD106A" w:rsidP="00AD106A">
            <w:pPr>
              <w:rPr>
                <w:b/>
              </w:rPr>
            </w:pPr>
            <w:r w:rsidRPr="007F2000">
              <w:rPr>
                <w:b/>
              </w:rPr>
              <w:t>Órgano técnico normativo competente:</w:t>
            </w:r>
          </w:p>
        </w:tc>
        <w:tc>
          <w:tcPr>
            <w:tcW w:w="4955" w:type="dxa"/>
          </w:tcPr>
          <w:p w14:paraId="535180BD" w14:textId="08C16012" w:rsidR="00AD106A" w:rsidRPr="007F2000" w:rsidRDefault="00AD106A" w:rsidP="00AD106A">
            <w:r>
              <w:rPr>
                <w:rFonts w:ascii="Arial" w:hAnsi="Arial" w:cs="Arial"/>
                <w:color w:val="000000"/>
                <w:sz w:val="18"/>
                <w:szCs w:val="18"/>
              </w:rPr>
              <w:t>Dirección de Normatividad de Infraestructura - DINOR</w:t>
            </w:r>
          </w:p>
        </w:tc>
      </w:tr>
      <w:tr w:rsidR="00AD106A" w:rsidRPr="007F2000" w14:paraId="683EEEB7" w14:textId="77777777">
        <w:tc>
          <w:tcPr>
            <w:tcW w:w="3539" w:type="dxa"/>
          </w:tcPr>
          <w:p w14:paraId="5AA4889A" w14:textId="4FC96860" w:rsidR="00AD106A" w:rsidRPr="007F2000" w:rsidRDefault="00AD106A" w:rsidP="00AD106A">
            <w:pPr>
              <w:rPr>
                <w:b/>
              </w:rPr>
            </w:pPr>
            <w:r w:rsidRPr="007F2000">
              <w:rPr>
                <w:b/>
              </w:rPr>
              <w:t xml:space="preserve">Unidad Orgánica </w:t>
            </w:r>
            <w:proofErr w:type="gramStart"/>
            <w:r w:rsidRPr="007F2000">
              <w:rPr>
                <w:b/>
              </w:rPr>
              <w:t>Responsable</w:t>
            </w:r>
            <w:proofErr w:type="gramEnd"/>
            <w:r w:rsidRPr="007F2000">
              <w:rPr>
                <w:b/>
              </w:rPr>
              <w:t>:</w:t>
            </w:r>
          </w:p>
        </w:tc>
        <w:tc>
          <w:tcPr>
            <w:tcW w:w="4955" w:type="dxa"/>
          </w:tcPr>
          <w:p w14:paraId="75195781" w14:textId="7D8F499C" w:rsidR="00AD106A" w:rsidRPr="007F2000" w:rsidRDefault="00AD106A" w:rsidP="00AD106A">
            <w:r>
              <w:rPr>
                <w:rFonts w:ascii="Arial" w:hAnsi="Arial" w:cs="Arial"/>
                <w:color w:val="000000"/>
                <w:sz w:val="18"/>
                <w:szCs w:val="18"/>
              </w:rPr>
              <w:t>Dirección General de Educación Técnico-Productiva y Superior Tecnológica y Artística</w:t>
            </w:r>
          </w:p>
        </w:tc>
      </w:tr>
      <w:tr w:rsidR="00AD106A" w:rsidRPr="007F2000" w14:paraId="4C312602" w14:textId="77777777" w:rsidTr="004A18E0">
        <w:tc>
          <w:tcPr>
            <w:tcW w:w="3539" w:type="dxa"/>
          </w:tcPr>
          <w:p w14:paraId="2CC6F46A" w14:textId="77777777" w:rsidR="00AD106A" w:rsidRPr="007F2000" w:rsidRDefault="00AD106A" w:rsidP="00AD106A">
            <w:pPr>
              <w:rPr>
                <w:b/>
              </w:rPr>
            </w:pPr>
            <w:r w:rsidRPr="007F2000">
              <w:rPr>
                <w:b/>
              </w:rPr>
              <w:t>Sector:</w:t>
            </w:r>
          </w:p>
        </w:tc>
        <w:tc>
          <w:tcPr>
            <w:tcW w:w="4955" w:type="dxa"/>
            <w:vAlign w:val="center"/>
          </w:tcPr>
          <w:p w14:paraId="679B4EF6" w14:textId="6D4E16EF" w:rsidR="00AD106A" w:rsidRPr="007F2000" w:rsidRDefault="00AD106A" w:rsidP="00AD106A">
            <w:r>
              <w:rPr>
                <w:rFonts w:ascii="Arial" w:hAnsi="Arial" w:cs="Arial"/>
                <w:color w:val="000000"/>
                <w:sz w:val="18"/>
                <w:szCs w:val="18"/>
              </w:rPr>
              <w:t>Educación</w:t>
            </w:r>
          </w:p>
        </w:tc>
      </w:tr>
      <w:tr w:rsidR="00AD106A" w:rsidRPr="007F2000" w14:paraId="47CE98C0" w14:textId="77777777" w:rsidTr="004A18E0">
        <w:tc>
          <w:tcPr>
            <w:tcW w:w="3539" w:type="dxa"/>
          </w:tcPr>
          <w:p w14:paraId="148BF11F" w14:textId="77777777" w:rsidR="00AD106A" w:rsidRPr="007F2000" w:rsidRDefault="00AD106A" w:rsidP="00AD106A">
            <w:pPr>
              <w:rPr>
                <w:b/>
              </w:rPr>
            </w:pPr>
            <w:r w:rsidRPr="007F2000">
              <w:rPr>
                <w:b/>
              </w:rPr>
              <w:t>Función:</w:t>
            </w:r>
          </w:p>
        </w:tc>
        <w:tc>
          <w:tcPr>
            <w:tcW w:w="4955" w:type="dxa"/>
            <w:vAlign w:val="center"/>
          </w:tcPr>
          <w:p w14:paraId="57ADF64C" w14:textId="2FA23E8D" w:rsidR="00AD106A" w:rsidRPr="007F2000" w:rsidRDefault="00AD106A" w:rsidP="00AD106A">
            <w:r>
              <w:rPr>
                <w:rFonts w:ascii="Arial" w:hAnsi="Arial" w:cs="Arial"/>
                <w:color w:val="000000"/>
                <w:sz w:val="18"/>
                <w:szCs w:val="18"/>
              </w:rPr>
              <w:t xml:space="preserve">22 </w:t>
            </w:r>
            <w:r w:rsidR="00326B61">
              <w:rPr>
                <w:rFonts w:ascii="Arial" w:hAnsi="Arial" w:cs="Arial"/>
                <w:color w:val="000000"/>
                <w:sz w:val="18"/>
                <w:szCs w:val="18"/>
              </w:rPr>
              <w:t>educación</w:t>
            </w:r>
          </w:p>
        </w:tc>
      </w:tr>
      <w:tr w:rsidR="00AD106A" w:rsidRPr="007F2000" w14:paraId="33B5D58C" w14:textId="77777777" w:rsidTr="004A18E0">
        <w:tc>
          <w:tcPr>
            <w:tcW w:w="3539" w:type="dxa"/>
          </w:tcPr>
          <w:p w14:paraId="5BC6E11B" w14:textId="77777777" w:rsidR="00AD106A" w:rsidRPr="007F2000" w:rsidRDefault="00AD106A" w:rsidP="00AD106A">
            <w:pPr>
              <w:rPr>
                <w:b/>
              </w:rPr>
            </w:pPr>
            <w:r w:rsidRPr="007F2000">
              <w:rPr>
                <w:b/>
              </w:rPr>
              <w:t>División funcional:</w:t>
            </w:r>
          </w:p>
        </w:tc>
        <w:tc>
          <w:tcPr>
            <w:tcW w:w="4955" w:type="dxa"/>
            <w:vAlign w:val="center"/>
          </w:tcPr>
          <w:p w14:paraId="77B69D1A" w14:textId="7E468089" w:rsidR="00AD106A" w:rsidRPr="007F2000" w:rsidRDefault="00AD106A" w:rsidP="00AD106A">
            <w:r>
              <w:rPr>
                <w:rFonts w:ascii="Arial" w:hAnsi="Arial" w:cs="Arial"/>
                <w:color w:val="000000"/>
                <w:sz w:val="18"/>
                <w:szCs w:val="18"/>
              </w:rPr>
              <w:t xml:space="preserve">048 </w:t>
            </w:r>
            <w:r w:rsidR="00326B61">
              <w:rPr>
                <w:rFonts w:ascii="Arial" w:hAnsi="Arial" w:cs="Arial"/>
                <w:color w:val="000000"/>
                <w:sz w:val="18"/>
                <w:szCs w:val="18"/>
              </w:rPr>
              <w:t>educación</w:t>
            </w:r>
            <w:r>
              <w:rPr>
                <w:rFonts w:ascii="Arial" w:hAnsi="Arial" w:cs="Arial"/>
                <w:color w:val="000000"/>
                <w:sz w:val="18"/>
                <w:szCs w:val="18"/>
              </w:rPr>
              <w:t xml:space="preserve"> Superior</w:t>
            </w:r>
          </w:p>
        </w:tc>
      </w:tr>
      <w:tr w:rsidR="00AD106A" w:rsidRPr="007F2000" w14:paraId="2521A0EB" w14:textId="77777777" w:rsidTr="004A18E0">
        <w:tc>
          <w:tcPr>
            <w:tcW w:w="3539" w:type="dxa"/>
          </w:tcPr>
          <w:p w14:paraId="61CE334D" w14:textId="77777777" w:rsidR="00AD106A" w:rsidRPr="007F2000" w:rsidRDefault="00AD106A" w:rsidP="00AD106A">
            <w:pPr>
              <w:rPr>
                <w:b/>
              </w:rPr>
            </w:pPr>
            <w:r w:rsidRPr="007F2000">
              <w:rPr>
                <w:b/>
              </w:rPr>
              <w:t xml:space="preserve">Grupo funcional: </w:t>
            </w:r>
          </w:p>
        </w:tc>
        <w:tc>
          <w:tcPr>
            <w:tcW w:w="4955" w:type="dxa"/>
            <w:vAlign w:val="center"/>
          </w:tcPr>
          <w:p w14:paraId="3E92E9D7" w14:textId="71BDF563" w:rsidR="00AD106A" w:rsidRPr="007F2000" w:rsidRDefault="00AD106A" w:rsidP="00AD106A">
            <w:r>
              <w:rPr>
                <w:rFonts w:ascii="Arial" w:hAnsi="Arial" w:cs="Arial"/>
                <w:color w:val="000000"/>
                <w:sz w:val="18"/>
                <w:szCs w:val="18"/>
              </w:rPr>
              <w:t xml:space="preserve">0108 </w:t>
            </w:r>
            <w:r w:rsidR="00326B61">
              <w:rPr>
                <w:rFonts w:ascii="Arial" w:hAnsi="Arial" w:cs="Arial"/>
                <w:color w:val="000000"/>
                <w:sz w:val="18"/>
                <w:szCs w:val="18"/>
              </w:rPr>
              <w:t>educación</w:t>
            </w:r>
            <w:r>
              <w:rPr>
                <w:rFonts w:ascii="Arial" w:hAnsi="Arial" w:cs="Arial"/>
                <w:color w:val="000000"/>
                <w:sz w:val="18"/>
                <w:szCs w:val="18"/>
              </w:rPr>
              <w:t xml:space="preserve"> Superior No Universitaria</w:t>
            </w:r>
          </w:p>
        </w:tc>
      </w:tr>
      <w:tr w:rsidR="00AD106A" w:rsidRPr="007F2000" w14:paraId="3E94C2B7" w14:textId="77777777" w:rsidTr="004A18E0">
        <w:tc>
          <w:tcPr>
            <w:tcW w:w="3539" w:type="dxa"/>
          </w:tcPr>
          <w:p w14:paraId="1627199C" w14:textId="77777777" w:rsidR="00AD106A" w:rsidRPr="007F2000" w:rsidRDefault="00AD106A" w:rsidP="00AD106A">
            <w:pPr>
              <w:rPr>
                <w:b/>
              </w:rPr>
            </w:pPr>
            <w:r w:rsidRPr="007F2000">
              <w:rPr>
                <w:b/>
              </w:rPr>
              <w:t>Servicio asociado:</w:t>
            </w:r>
          </w:p>
        </w:tc>
        <w:tc>
          <w:tcPr>
            <w:tcW w:w="4955" w:type="dxa"/>
            <w:vAlign w:val="center"/>
          </w:tcPr>
          <w:p w14:paraId="750E3F06" w14:textId="38E6285D" w:rsidR="00AD106A" w:rsidRPr="007F2000" w:rsidRDefault="00AD106A" w:rsidP="00AD106A">
            <w:r>
              <w:rPr>
                <w:rFonts w:ascii="Arial" w:hAnsi="Arial" w:cs="Arial"/>
                <w:color w:val="000000"/>
                <w:sz w:val="18"/>
                <w:szCs w:val="18"/>
              </w:rPr>
              <w:t>Servicio de Educación Superior Artística</w:t>
            </w:r>
          </w:p>
        </w:tc>
      </w:tr>
      <w:tr w:rsidR="00AD106A" w:rsidRPr="007F2000" w14:paraId="1734AC67" w14:textId="77777777" w:rsidTr="004A18E0">
        <w:tc>
          <w:tcPr>
            <w:tcW w:w="3539" w:type="dxa"/>
          </w:tcPr>
          <w:p w14:paraId="6BFEB1EE" w14:textId="77777777" w:rsidR="00AD106A" w:rsidRPr="007F2000" w:rsidRDefault="00AD106A" w:rsidP="00AD106A">
            <w:pPr>
              <w:rPr>
                <w:b/>
              </w:rPr>
            </w:pPr>
            <w:r w:rsidRPr="007F2000">
              <w:rPr>
                <w:b/>
              </w:rPr>
              <w:t>Tipología de proyecto de inversión:</w:t>
            </w:r>
          </w:p>
        </w:tc>
        <w:tc>
          <w:tcPr>
            <w:tcW w:w="4955" w:type="dxa"/>
            <w:vAlign w:val="center"/>
          </w:tcPr>
          <w:p w14:paraId="24FCF44B" w14:textId="70A73E37" w:rsidR="00AD106A" w:rsidRPr="007F2000" w:rsidRDefault="00AD106A" w:rsidP="00AD106A">
            <w:pPr>
              <w:tabs>
                <w:tab w:val="left" w:pos="3110"/>
              </w:tabs>
            </w:pPr>
            <w:r>
              <w:rPr>
                <w:rFonts w:ascii="Arial" w:hAnsi="Arial" w:cs="Arial"/>
                <w:color w:val="000000"/>
                <w:sz w:val="18"/>
                <w:szCs w:val="18"/>
              </w:rPr>
              <w:t>Educación Superior Artística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49FCA53F">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A7022F" w14:paraId="5E448942" w14:textId="77777777" w:rsidTr="49FCA53F">
        <w:trPr>
          <w:trHeight w:val="841"/>
        </w:trPr>
        <w:tc>
          <w:tcPr>
            <w:tcW w:w="8529" w:type="dxa"/>
            <w:tcBorders>
              <w:left w:val="single" w:sz="4" w:space="0" w:color="auto"/>
            </w:tcBorders>
          </w:tcPr>
          <w:p w14:paraId="066E8B4B" w14:textId="1B80516F"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7F2000" w:rsidRDefault="00002FFB" w:rsidP="00057AB6">
            <w:pPr>
              <w:pStyle w:val="Prrafodelista"/>
              <w:ind w:left="313"/>
            </w:pPr>
          </w:p>
          <w:p w14:paraId="704982F6" w14:textId="2D934675" w:rsidR="00AD106A" w:rsidRDefault="00AD106A" w:rsidP="00AD106A">
            <w:pPr>
              <w:jc w:val="both"/>
              <w:rPr>
                <w:b/>
                <w:color w:val="000000" w:themeColor="text1"/>
              </w:rPr>
            </w:pPr>
            <w:r w:rsidRPr="00F7044A">
              <w:rPr>
                <w:b/>
                <w:color w:val="000000" w:themeColor="text1"/>
              </w:rPr>
              <w:t>Servicio de Educación Superior Artística</w:t>
            </w:r>
          </w:p>
          <w:p w14:paraId="534215E7" w14:textId="77777777" w:rsidR="00730AAA" w:rsidRPr="002B2068" w:rsidRDefault="00730AAA" w:rsidP="00AD106A">
            <w:pPr>
              <w:jc w:val="both"/>
              <w:rPr>
                <w:b/>
                <w:color w:val="000000" w:themeColor="text1"/>
              </w:rPr>
            </w:pPr>
          </w:p>
          <w:p w14:paraId="5B6A0750" w14:textId="23646A49" w:rsidR="3133F72F" w:rsidRPr="00511373" w:rsidRDefault="4FF335BA" w:rsidP="3133F72F">
            <w:pPr>
              <w:jc w:val="both"/>
              <w:rPr>
                <w:rFonts w:cstheme="minorHAnsi"/>
                <w:i/>
                <w:iCs/>
              </w:rPr>
            </w:pPr>
            <w:r w:rsidRPr="00730AAA">
              <w:rPr>
                <w:rFonts w:cstheme="minorHAnsi"/>
                <w:i/>
                <w:iCs/>
              </w:rPr>
              <w:t xml:space="preserve">“La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y su adecuada inserción </w:t>
            </w:r>
            <w:r w:rsidRPr="00511373">
              <w:rPr>
                <w:rFonts w:cstheme="minorHAnsi"/>
                <w:i/>
                <w:iCs/>
              </w:rPr>
              <w:t>internacional</w:t>
            </w:r>
            <w:r w:rsidR="00730AAA" w:rsidRPr="00511373">
              <w:rPr>
                <w:rFonts w:cstheme="minorHAnsi"/>
                <w:i/>
                <w:iCs/>
              </w:rPr>
              <w:t>.</w:t>
            </w:r>
            <w:r w:rsidRPr="00511373">
              <w:rPr>
                <w:rFonts w:cstheme="minorHAnsi"/>
                <w:i/>
                <w:iCs/>
              </w:rPr>
              <w:t xml:space="preserve">” </w:t>
            </w:r>
            <w:r w:rsidRPr="00511373">
              <w:rPr>
                <w:rFonts w:cstheme="minorHAnsi"/>
              </w:rPr>
              <w:t>(Norma 1)</w:t>
            </w:r>
          </w:p>
          <w:p w14:paraId="55080686" w14:textId="77777777" w:rsidR="00730AAA" w:rsidRPr="00511373" w:rsidRDefault="00730AAA" w:rsidP="3133F72F">
            <w:pPr>
              <w:jc w:val="both"/>
              <w:rPr>
                <w:rFonts w:ascii="Arial" w:eastAsia="Arial" w:hAnsi="Arial" w:cs="Arial"/>
                <w:sz w:val="20"/>
                <w:szCs w:val="20"/>
              </w:rPr>
            </w:pPr>
          </w:p>
          <w:p w14:paraId="5930C1C0" w14:textId="5E3829E5" w:rsidR="005146F1" w:rsidRPr="002B2068" w:rsidRDefault="002B2068" w:rsidP="00B7264B">
            <w:pPr>
              <w:autoSpaceDE w:val="0"/>
              <w:autoSpaceDN w:val="0"/>
              <w:adjustRightInd w:val="0"/>
              <w:jc w:val="both"/>
              <w:rPr>
                <w:rFonts w:cstheme="minorHAnsi"/>
              </w:rPr>
            </w:pPr>
            <w:r w:rsidRPr="00511373">
              <w:rPr>
                <w:rFonts w:cstheme="minorHAnsi"/>
                <w:i/>
                <w:iCs/>
              </w:rPr>
              <w:t>“</w:t>
            </w:r>
            <w:r w:rsidR="005146F1" w:rsidRPr="00511373">
              <w:rPr>
                <w:rFonts w:cstheme="minorHAnsi"/>
                <w:i/>
                <w:iCs/>
              </w:rPr>
              <w:t>Este servicio brinda formación en el campo artístico o de artista profesional, en diferentes especialidades. Además, brinda formación artística temprana, la cual no se constituye como educación superior, pero resulta necesaria en la formación superior de algunas disciplinas artísticas</w:t>
            </w:r>
            <w:r w:rsidR="001D221E" w:rsidRPr="00511373">
              <w:rPr>
                <w:rFonts w:cstheme="minorHAnsi"/>
                <w:i/>
                <w:iCs/>
              </w:rPr>
              <w:t>.</w:t>
            </w:r>
            <w:r w:rsidRPr="00511373">
              <w:rPr>
                <w:rFonts w:cstheme="minorHAnsi"/>
                <w:i/>
                <w:iCs/>
              </w:rPr>
              <w:t>”</w:t>
            </w:r>
            <w:r w:rsidR="001239C0" w:rsidRPr="00511373">
              <w:rPr>
                <w:rFonts w:cstheme="minorHAnsi"/>
              </w:rPr>
              <w:t xml:space="preserve"> (Norma </w:t>
            </w:r>
            <w:r w:rsidRPr="00511373">
              <w:rPr>
                <w:rFonts w:cstheme="minorHAnsi"/>
              </w:rPr>
              <w:t>2</w:t>
            </w:r>
            <w:r w:rsidR="001239C0" w:rsidRPr="00511373">
              <w:rPr>
                <w:rFonts w:cstheme="minorHAnsi"/>
              </w:rPr>
              <w:t>)</w:t>
            </w:r>
          </w:p>
          <w:p w14:paraId="4E83061C" w14:textId="77777777" w:rsidR="004223E6" w:rsidRPr="00686266" w:rsidRDefault="004223E6" w:rsidP="00B7264B">
            <w:pPr>
              <w:jc w:val="both"/>
            </w:pPr>
          </w:p>
          <w:p w14:paraId="4E58C96F" w14:textId="0B02344C" w:rsidR="004223E6" w:rsidRPr="00686266" w:rsidRDefault="00A47D12" w:rsidP="004223E6">
            <w:pPr>
              <w:autoSpaceDE w:val="0"/>
              <w:autoSpaceDN w:val="0"/>
              <w:adjustRightInd w:val="0"/>
              <w:jc w:val="both"/>
            </w:pPr>
            <w:r w:rsidRPr="00431FD8">
              <w:t>“</w:t>
            </w:r>
            <w:r w:rsidR="004223E6" w:rsidRPr="00431FD8">
              <w:rPr>
                <w:i/>
                <w:iCs/>
              </w:rPr>
              <w:t>La Educación Superior Artística forma parte de la segunda etapa del sistema educativo y forma</w:t>
            </w:r>
            <w:r w:rsidRPr="00431FD8">
              <w:rPr>
                <w:i/>
                <w:iCs/>
              </w:rPr>
              <w:t xml:space="preserve"> </w:t>
            </w:r>
            <w:r w:rsidR="004223E6" w:rsidRPr="00431FD8">
              <w:rPr>
                <w:i/>
                <w:iCs/>
              </w:rPr>
              <w:t>profesionales en la docencia, arte y cultura. Se brinda en el nivel profesional, con el objeto de potenciar la sensibilidad y capacidad creativa de los estudiantes en las diferentes artes, fortalecer la investigación, innovación y creación artística, impulsar el desarrollo de las artes, promover el emprendimiento cultural, fortalecer y diversificar las industrias culturales y contribuir al desarrollo cultural de la sociedad</w:t>
            </w:r>
            <w:r w:rsidRPr="00431FD8">
              <w:t>.”</w:t>
            </w:r>
            <w:r w:rsidR="004223E6" w:rsidRPr="00431FD8">
              <w:t xml:space="preserve"> (Norma 3).</w:t>
            </w:r>
          </w:p>
          <w:p w14:paraId="1759E1F3" w14:textId="77777777" w:rsidR="001D221E" w:rsidRDefault="001D221E" w:rsidP="00B7264B">
            <w:pPr>
              <w:jc w:val="both"/>
              <w:rPr>
                <w:b/>
                <w:bCs/>
              </w:rPr>
            </w:pPr>
          </w:p>
          <w:p w14:paraId="51AB472C" w14:textId="5204A5CF" w:rsidR="00002FFB" w:rsidRPr="007F2000" w:rsidRDefault="4FF335BA" w:rsidP="00B7264B">
            <w:pPr>
              <w:jc w:val="both"/>
              <w:rPr>
                <w:b/>
                <w:bCs/>
              </w:rPr>
            </w:pPr>
            <w:r w:rsidRPr="4FF335BA">
              <w:rPr>
                <w:b/>
                <w:bCs/>
              </w:rPr>
              <w:t>Norma Legal:</w:t>
            </w:r>
          </w:p>
          <w:p w14:paraId="32D64C1C" w14:textId="48B6B1EC" w:rsidR="00002FFB" w:rsidRDefault="00002FFB" w:rsidP="00B7264B">
            <w:pPr>
              <w:jc w:val="both"/>
            </w:pPr>
          </w:p>
          <w:p w14:paraId="0574C2D8" w14:textId="2961F1FA" w:rsidR="00AD106A" w:rsidRDefault="3133F72F" w:rsidP="00B7264B">
            <w:pPr>
              <w:jc w:val="both"/>
            </w:pPr>
            <w:r w:rsidRPr="00511373">
              <w:t>(Norma 1)</w:t>
            </w:r>
            <w:r>
              <w:t xml:space="preserve"> Artículo 49 de la Ley </w:t>
            </w:r>
            <w:proofErr w:type="spellStart"/>
            <w:r>
              <w:t>N°</w:t>
            </w:r>
            <w:proofErr w:type="spellEnd"/>
            <w:r>
              <w:t xml:space="preserve"> 28044, Ley General de Educación y sus modificatorias.</w:t>
            </w:r>
          </w:p>
          <w:p w14:paraId="106BAA40" w14:textId="0498635E" w:rsidR="00B017E4" w:rsidRDefault="4FF335BA" w:rsidP="00B7264B">
            <w:pPr>
              <w:jc w:val="both"/>
              <w:rPr>
                <w:color w:val="0070C0"/>
                <w:u w:val="single"/>
                <w:lang w:val="en-AU"/>
              </w:rPr>
            </w:pPr>
            <w:r w:rsidRPr="4FF335BA">
              <w:rPr>
                <w:lang w:val="en-AU"/>
              </w:rPr>
              <w:t xml:space="preserve">LINK:  </w:t>
            </w:r>
            <w:hyperlink r:id="rId8" w:history="1">
              <w:r w:rsidR="00730AAA" w:rsidRPr="00133492">
                <w:rPr>
                  <w:rStyle w:val="Hipervnculo"/>
                  <w:lang w:val="en-AU"/>
                </w:rPr>
                <w:t>https://www.minedu.gob.pe/p/ley_general_de_educacion_28044.pdf</w:t>
              </w:r>
            </w:hyperlink>
            <w:r w:rsidR="00730AAA">
              <w:rPr>
                <w:lang w:val="en-AU"/>
              </w:rPr>
              <w:t xml:space="preserve"> </w:t>
            </w:r>
          </w:p>
          <w:p w14:paraId="6137FAA2" w14:textId="77777777" w:rsidR="00AF73E4" w:rsidRDefault="00AF73E4" w:rsidP="00B7264B">
            <w:pPr>
              <w:jc w:val="both"/>
              <w:rPr>
                <w:color w:val="0070C0"/>
                <w:lang w:val="en-AU"/>
              </w:rPr>
            </w:pPr>
          </w:p>
          <w:p w14:paraId="5272B6C5" w14:textId="5502BDA0" w:rsidR="005146F1" w:rsidRPr="001D221E" w:rsidRDefault="4FF335BA" w:rsidP="00B7264B">
            <w:pPr>
              <w:jc w:val="both"/>
            </w:pPr>
            <w:r w:rsidRPr="00511373">
              <w:t>(Norma 2)</w:t>
            </w:r>
            <w:r>
              <w:t xml:space="preserve"> </w:t>
            </w:r>
            <w:r w:rsidR="00A47D12">
              <w:t>Numeral</w:t>
            </w:r>
            <w:r>
              <w:t xml:space="preserve"> </w:t>
            </w:r>
            <w:r w:rsidRPr="001D221E">
              <w:t xml:space="preserve">3 del literal a) de la sección V de la Política Nacional de Educación Superior y Técnico Productiva, aprobada por Decreto Supremo </w:t>
            </w:r>
            <w:proofErr w:type="spellStart"/>
            <w:r w:rsidRPr="001D221E">
              <w:t>N°</w:t>
            </w:r>
            <w:proofErr w:type="spellEnd"/>
            <w:r w:rsidRPr="001D221E">
              <w:t xml:space="preserve"> 012-2020-MINEDU.</w:t>
            </w:r>
          </w:p>
          <w:p w14:paraId="43F27A2C" w14:textId="37A7D4FD" w:rsidR="00A47D12" w:rsidRDefault="005146F1" w:rsidP="00B7264B">
            <w:pPr>
              <w:jc w:val="both"/>
              <w:rPr>
                <w:lang w:val="en-AU"/>
              </w:rPr>
            </w:pPr>
            <w:r w:rsidRPr="00F7044A">
              <w:rPr>
                <w:color w:val="000000" w:themeColor="text1"/>
                <w:lang w:val="en-AU"/>
              </w:rPr>
              <w:t>LINK</w:t>
            </w:r>
            <w:r w:rsidR="0054519D" w:rsidRPr="00F7044A">
              <w:rPr>
                <w:color w:val="000000" w:themeColor="text1"/>
                <w:lang w:val="en-AU"/>
              </w:rPr>
              <w:t>:</w:t>
            </w:r>
            <w:r w:rsidRPr="00F7044A">
              <w:rPr>
                <w:color w:val="000000" w:themeColor="text1"/>
                <w:lang w:val="en-AU"/>
              </w:rPr>
              <w:t xml:space="preserve"> </w:t>
            </w:r>
            <w:r w:rsidR="000F0B83">
              <w:rPr>
                <w:lang w:val="en-AU"/>
              </w:rPr>
              <w:t xml:space="preserve"> </w:t>
            </w:r>
            <w:hyperlink r:id="rId9" w:history="1">
              <w:r w:rsidR="000F0B83" w:rsidRPr="004F627C">
                <w:rPr>
                  <w:rStyle w:val="Hipervnculo"/>
                  <w:lang w:val="en-AU"/>
                </w:rPr>
                <w:t>http://www.minedu.gob.pe/transparencia/2021/pdf/DS_012-2020-MINEDU.pdf</w:t>
              </w:r>
            </w:hyperlink>
          </w:p>
          <w:p w14:paraId="14212335" w14:textId="77777777" w:rsidR="000F0B83" w:rsidRPr="00AD106A" w:rsidRDefault="000F0B83" w:rsidP="00B7264B">
            <w:pPr>
              <w:jc w:val="both"/>
              <w:rPr>
                <w:lang w:val="en-AU"/>
              </w:rPr>
            </w:pPr>
          </w:p>
          <w:p w14:paraId="1B66877B" w14:textId="3CCBFAB1" w:rsidR="4FF335BA" w:rsidRDefault="4FF335BA" w:rsidP="00BC2E30">
            <w:pPr>
              <w:jc w:val="both"/>
              <w:rPr>
                <w:color w:val="0070C0"/>
                <w:u w:val="single"/>
                <w:lang w:val="en-AU"/>
              </w:rPr>
            </w:pPr>
          </w:p>
          <w:p w14:paraId="7256CC05" w14:textId="7C01E4BD" w:rsidR="004223E6" w:rsidRPr="00431FD8" w:rsidRDefault="004223E6" w:rsidP="006A3EBA">
            <w:pPr>
              <w:jc w:val="both"/>
            </w:pPr>
            <w:r w:rsidRPr="00511373">
              <w:rPr>
                <w:lang w:val="es-ES"/>
              </w:rPr>
              <w:t>(</w:t>
            </w:r>
            <w:r w:rsidRPr="00431FD8">
              <w:rPr>
                <w:lang w:val="es-ES"/>
              </w:rPr>
              <w:t xml:space="preserve">Norma 3) Artículo 3 de la Ley </w:t>
            </w:r>
            <w:proofErr w:type="spellStart"/>
            <w:r w:rsidRPr="00431FD8">
              <w:rPr>
                <w:lang w:val="es-ES"/>
              </w:rPr>
              <w:t>N°</w:t>
            </w:r>
            <w:proofErr w:type="spellEnd"/>
            <w:r w:rsidRPr="00431FD8">
              <w:rPr>
                <w:lang w:val="es-ES"/>
              </w:rPr>
              <w:t xml:space="preserve"> 32304 Ley que regula las Escuelas Superiores de Formación Artística y la Carrera Pública de sus docentes</w:t>
            </w:r>
            <w:r w:rsidRPr="00431FD8">
              <w:t>.</w:t>
            </w:r>
          </w:p>
          <w:p w14:paraId="2A3BE3D6" w14:textId="3029BE1B" w:rsidR="001239C0" w:rsidRDefault="00BC2E30" w:rsidP="00AD106A">
            <w:pPr>
              <w:rPr>
                <w:color w:val="000000" w:themeColor="text1"/>
                <w:lang w:val="en-AU"/>
              </w:rPr>
            </w:pPr>
            <w:r w:rsidRPr="00431FD8">
              <w:rPr>
                <w:color w:val="000000" w:themeColor="text1"/>
                <w:lang w:val="en-AU"/>
              </w:rPr>
              <w:t xml:space="preserve">LINK: </w:t>
            </w:r>
            <w:hyperlink r:id="rId10" w:history="1">
              <w:r w:rsidRPr="00431FD8">
                <w:rPr>
                  <w:rStyle w:val="Hipervnculo"/>
                  <w:lang w:val="en-AU"/>
                </w:rPr>
                <w:t>https://busquedas.elperuano.pe/dispositivo/NL/2391918-1</w:t>
              </w:r>
            </w:hyperlink>
          </w:p>
          <w:p w14:paraId="67C07B3C" w14:textId="1A0AC533" w:rsidR="00BC2E30" w:rsidRPr="00BC2E30" w:rsidRDefault="00BC2E30" w:rsidP="00AD106A">
            <w:pPr>
              <w:rPr>
                <w:lang w:val="en-US"/>
              </w:rPr>
            </w:pPr>
          </w:p>
        </w:tc>
      </w:tr>
      <w:tr w:rsidR="00057AB6" w:rsidRPr="007F2000" w14:paraId="509F030F" w14:textId="77777777" w:rsidTr="49FCA53F">
        <w:trPr>
          <w:trHeight w:val="260"/>
        </w:trPr>
        <w:tc>
          <w:tcPr>
            <w:tcW w:w="8529" w:type="dxa"/>
            <w:tcBorders>
              <w:left w:val="single" w:sz="4" w:space="0" w:color="auto"/>
            </w:tcBorders>
            <w:shd w:val="clear" w:color="auto" w:fill="000000" w:themeFill="text1"/>
          </w:tcPr>
          <w:p w14:paraId="203FF4CC" w14:textId="64787D2C" w:rsidR="00002FFB" w:rsidRPr="007F2000" w:rsidRDefault="00190BF5" w:rsidP="00057AB6">
            <w:r w:rsidRPr="007F2000">
              <w:rPr>
                <w:b/>
              </w:rPr>
              <w:lastRenderedPageBreak/>
              <w:t>Nivel</w:t>
            </w:r>
            <w:r w:rsidR="00F95B43" w:rsidRPr="007F2000">
              <w:rPr>
                <w:b/>
              </w:rPr>
              <w:t xml:space="preserve"> de Servicio</w:t>
            </w:r>
          </w:p>
        </w:tc>
      </w:tr>
      <w:tr w:rsidR="00057AB6" w:rsidRPr="00A7022F" w14:paraId="5AFB2F64" w14:textId="77777777" w:rsidTr="49FCA53F">
        <w:trPr>
          <w:trHeight w:val="260"/>
        </w:trPr>
        <w:tc>
          <w:tcPr>
            <w:tcW w:w="8529" w:type="dxa"/>
            <w:tcBorders>
              <w:left w:val="single" w:sz="4" w:space="0" w:color="auto"/>
            </w:tcBorders>
          </w:tcPr>
          <w:p w14:paraId="01BB1C53" w14:textId="77777777" w:rsidR="00EA5E5C" w:rsidRDefault="00EA5E5C" w:rsidP="00680DF4">
            <w:pPr>
              <w:jc w:val="both"/>
              <w:rPr>
                <w:b/>
              </w:rPr>
            </w:pPr>
          </w:p>
          <w:p w14:paraId="7F454531" w14:textId="59EEEBB1" w:rsidR="00002FFB" w:rsidRDefault="00F95B43" w:rsidP="00680DF4">
            <w:pPr>
              <w:jc w:val="both"/>
            </w:pPr>
            <w:r w:rsidRPr="007F2000">
              <w:rPr>
                <w:b/>
              </w:rPr>
              <w:t>Descripción</w:t>
            </w:r>
            <w:r w:rsidRPr="007F2000">
              <w:t>:</w:t>
            </w:r>
          </w:p>
          <w:p w14:paraId="3DD4BC25" w14:textId="25429EED" w:rsidR="00D130AB" w:rsidRDefault="00D130AB" w:rsidP="00680DF4">
            <w:pPr>
              <w:jc w:val="both"/>
            </w:pPr>
          </w:p>
          <w:p w14:paraId="37A2BCFC" w14:textId="65B378C6" w:rsidR="4FF335BA" w:rsidRDefault="4FF335BA" w:rsidP="00680DF4">
            <w:pPr>
              <w:jc w:val="both"/>
              <w:rPr>
                <w:rFonts w:ascii="Calibri" w:eastAsia="Calibri" w:hAnsi="Calibri" w:cs="Calibri"/>
              </w:rPr>
            </w:pPr>
            <w:r w:rsidRPr="49FCA53F">
              <w:rPr>
                <w:rFonts w:ascii="Calibri" w:eastAsia="Calibri" w:hAnsi="Calibri" w:cs="Calibri"/>
              </w:rPr>
              <w:t>A continuación, se presenta los niveles de servicio identificados en el marco del Sistema Nacional de Programación Multianual y Gestión de Inversiones (SNPMGI</w:t>
            </w:r>
            <w:r w:rsidR="00F60777">
              <w:rPr>
                <w:rFonts w:ascii="Calibri" w:eastAsia="Calibri" w:hAnsi="Calibri" w:cs="Calibri"/>
              </w:rPr>
              <w:t>)</w:t>
            </w:r>
            <w:r w:rsidRPr="49FCA53F">
              <w:rPr>
                <w:rFonts w:ascii="Calibri" w:eastAsia="Calibri" w:hAnsi="Calibri" w:cs="Calibri"/>
              </w:rPr>
              <w:t xml:space="preserve"> para el </w:t>
            </w:r>
            <w:r w:rsidR="00F60777">
              <w:rPr>
                <w:rFonts w:ascii="Calibri" w:eastAsia="Calibri" w:hAnsi="Calibri" w:cs="Calibri"/>
              </w:rPr>
              <w:t>S</w:t>
            </w:r>
            <w:r w:rsidRPr="49FCA53F">
              <w:rPr>
                <w:rFonts w:ascii="Calibri" w:eastAsia="Calibri" w:hAnsi="Calibri" w:cs="Calibri"/>
              </w:rPr>
              <w:t>ervicio de Educación Superior Artística:</w:t>
            </w:r>
          </w:p>
          <w:p w14:paraId="747CFFA0" w14:textId="7A679169" w:rsidR="00337944" w:rsidRDefault="00337944" w:rsidP="00680DF4">
            <w:pPr>
              <w:jc w:val="both"/>
            </w:pPr>
          </w:p>
          <w:p w14:paraId="724265BF" w14:textId="77CE00F5" w:rsidR="00337944" w:rsidRPr="00511373" w:rsidRDefault="4FF335BA" w:rsidP="00680DF4">
            <w:pPr>
              <w:jc w:val="both"/>
            </w:pPr>
            <w:r>
              <w:t xml:space="preserve">a) </w:t>
            </w:r>
            <w:r w:rsidR="00F60777">
              <w:t>Nivel se servicio que otorga el g</w:t>
            </w:r>
            <w:r>
              <w:t>rado de bachiller y título de licenciado. Aquellas ESFA</w:t>
            </w:r>
            <w:r w:rsidR="00F60777">
              <w:rPr>
                <w:rStyle w:val="Refdenotaalpie"/>
              </w:rPr>
              <w:footnoteReference w:id="1"/>
            </w:r>
            <w:r>
              <w:t xml:space="preserve"> incorporadas en la Tercera Disposición Complementaria Final de la Ley </w:t>
            </w:r>
            <w:proofErr w:type="spellStart"/>
            <w:r>
              <w:t>N°</w:t>
            </w:r>
            <w:proofErr w:type="spellEnd"/>
            <w:r>
              <w:t xml:space="preserve"> 30220, Ley Universitaria y sus modificatorias están facultadas para otorgar el grado de bachiller y título de licenciado a aquellos estudiantes que logren completar los doscientos (200) </w:t>
            </w:r>
            <w:r w:rsidRPr="00511373">
              <w:t>créditos. (Norma</w:t>
            </w:r>
            <w:r w:rsidR="00A80F57" w:rsidRPr="00511373">
              <w:t>s</w:t>
            </w:r>
            <w:r w:rsidRPr="00511373">
              <w:t xml:space="preserve"> </w:t>
            </w:r>
            <w:r w:rsidR="00B7264B" w:rsidRPr="00511373">
              <w:t>3</w:t>
            </w:r>
            <w:r w:rsidR="00A80F57" w:rsidRPr="00511373">
              <w:t xml:space="preserve"> y </w:t>
            </w:r>
            <w:r w:rsidR="00B40883" w:rsidRPr="00511373">
              <w:t>4</w:t>
            </w:r>
            <w:r w:rsidRPr="00511373">
              <w:t>)</w:t>
            </w:r>
          </w:p>
          <w:p w14:paraId="0C649058" w14:textId="090246A1" w:rsidR="00337944" w:rsidRPr="00511373" w:rsidRDefault="00337944" w:rsidP="00680DF4">
            <w:pPr>
              <w:jc w:val="both"/>
            </w:pPr>
          </w:p>
          <w:p w14:paraId="375C4CFB" w14:textId="02826FCC" w:rsidR="00337944" w:rsidRDefault="4FF335BA" w:rsidP="00680DF4">
            <w:pPr>
              <w:jc w:val="both"/>
            </w:pPr>
            <w:r w:rsidRPr="00511373">
              <w:t xml:space="preserve">b) </w:t>
            </w:r>
            <w:r w:rsidR="00F42909">
              <w:t>Nivel de servicio que otorga el t</w:t>
            </w:r>
            <w:r w:rsidRPr="00511373">
              <w:t xml:space="preserve">ítulo de profesor y artista profesional. La referida titulación es otorgada por las ESFAS no incorporadas en la Ley </w:t>
            </w:r>
            <w:proofErr w:type="spellStart"/>
            <w:r w:rsidRPr="00511373">
              <w:t>N°</w:t>
            </w:r>
            <w:proofErr w:type="spellEnd"/>
            <w:r w:rsidRPr="00511373">
              <w:t xml:space="preserve"> 30220, Ley Universitaria y sus modificatorias (Norma</w:t>
            </w:r>
            <w:r w:rsidR="00A80F57" w:rsidRPr="00511373">
              <w:t>s</w:t>
            </w:r>
            <w:r w:rsidRPr="00511373">
              <w:t xml:space="preserve"> </w:t>
            </w:r>
            <w:r w:rsidR="00B7264B" w:rsidRPr="00511373">
              <w:t>3</w:t>
            </w:r>
            <w:r w:rsidR="00A80F57" w:rsidRPr="00511373">
              <w:t xml:space="preserve"> y </w:t>
            </w:r>
            <w:r w:rsidR="00B40883" w:rsidRPr="00511373">
              <w:t>4</w:t>
            </w:r>
            <w:r w:rsidRPr="00511373">
              <w:t>)</w:t>
            </w:r>
          </w:p>
          <w:p w14:paraId="1A9EC2DC" w14:textId="77777777" w:rsidR="00A062DF" w:rsidRDefault="00A062DF" w:rsidP="00680DF4">
            <w:pPr>
              <w:jc w:val="both"/>
            </w:pPr>
          </w:p>
          <w:p w14:paraId="2C70D392" w14:textId="46BB8621" w:rsidR="00002FFB" w:rsidRDefault="00F95B43" w:rsidP="00680DF4">
            <w:pPr>
              <w:jc w:val="both"/>
              <w:rPr>
                <w:b/>
              </w:rPr>
            </w:pPr>
            <w:r w:rsidRPr="00C65B71">
              <w:rPr>
                <w:b/>
              </w:rPr>
              <w:t xml:space="preserve">Norma </w:t>
            </w:r>
            <w:r w:rsidR="00B72BD7" w:rsidRPr="00C65B71">
              <w:rPr>
                <w:b/>
              </w:rPr>
              <w:t>Legal</w:t>
            </w:r>
            <w:r w:rsidRPr="00C65B71">
              <w:rPr>
                <w:b/>
              </w:rPr>
              <w:t>:</w:t>
            </w:r>
          </w:p>
          <w:p w14:paraId="161867FB" w14:textId="5C6051EB" w:rsidR="00337944" w:rsidRDefault="00337944" w:rsidP="00680DF4">
            <w:pPr>
              <w:jc w:val="both"/>
              <w:rPr>
                <w:b/>
              </w:rPr>
            </w:pPr>
          </w:p>
          <w:p w14:paraId="3A787ACF" w14:textId="2E64C1B9" w:rsidR="00A062DF" w:rsidRPr="00F7044A" w:rsidRDefault="4FF335BA" w:rsidP="00680DF4">
            <w:pPr>
              <w:jc w:val="both"/>
            </w:pPr>
            <w:r>
              <w:t xml:space="preserve">(Norma </w:t>
            </w:r>
            <w:r w:rsidR="00B7264B">
              <w:t>3</w:t>
            </w:r>
            <w:r>
              <w:t xml:space="preserve">) Tercera Disposición Complementaria Final de la Ley </w:t>
            </w:r>
            <w:proofErr w:type="spellStart"/>
            <w:r>
              <w:t>N°</w:t>
            </w:r>
            <w:proofErr w:type="spellEnd"/>
            <w:r>
              <w:t xml:space="preserve"> 30220, Ley Universitaria y sus modificatorias.</w:t>
            </w:r>
          </w:p>
          <w:p w14:paraId="1A8BE3DC" w14:textId="37897F1D" w:rsidR="00A062DF" w:rsidRPr="004223E6" w:rsidRDefault="1AF42662" w:rsidP="00680DF4">
            <w:pPr>
              <w:jc w:val="both"/>
              <w:rPr>
                <w:lang w:val="en-US"/>
              </w:rPr>
            </w:pPr>
            <w:r w:rsidRPr="004223E6">
              <w:rPr>
                <w:lang w:val="en-US"/>
              </w:rPr>
              <w:t xml:space="preserve">LINK: </w:t>
            </w:r>
            <w:hyperlink r:id="rId11" w:history="1">
              <w:r w:rsidRPr="004223E6">
                <w:rPr>
                  <w:rStyle w:val="Hipervnculo"/>
                  <w:lang w:val="en-US"/>
                </w:rPr>
                <w:t>https://www.gob.pe/institucion/minedu/normas-legales/118482-30220</w:t>
              </w:r>
            </w:hyperlink>
          </w:p>
          <w:p w14:paraId="6926DC6C" w14:textId="2BC23D8B" w:rsidR="49FCA53F" w:rsidRPr="004223E6" w:rsidRDefault="49FCA53F" w:rsidP="00680DF4">
            <w:pPr>
              <w:jc w:val="both"/>
              <w:rPr>
                <w:lang w:val="en-US"/>
              </w:rPr>
            </w:pPr>
          </w:p>
          <w:p w14:paraId="289E24EC" w14:textId="2701B1C9" w:rsidR="00A062DF" w:rsidRPr="00F7044A" w:rsidRDefault="4FF335BA" w:rsidP="00680DF4">
            <w:pPr>
              <w:jc w:val="both"/>
            </w:pPr>
            <w:r>
              <w:t xml:space="preserve">(Norma </w:t>
            </w:r>
            <w:r w:rsidR="006A3EBA">
              <w:t>4</w:t>
            </w:r>
            <w:r>
              <w:t xml:space="preserve">) Anexo </w:t>
            </w:r>
            <w:proofErr w:type="spellStart"/>
            <w:r>
              <w:t>Nº</w:t>
            </w:r>
            <w:proofErr w:type="spellEnd"/>
            <w:r>
              <w:t xml:space="preserve"> 4 de la Política Nacional de Educación Superior y Técnico Productiva, aprobada por Decreto Supremo </w:t>
            </w:r>
            <w:proofErr w:type="spellStart"/>
            <w:r>
              <w:t>N°</w:t>
            </w:r>
            <w:proofErr w:type="spellEnd"/>
            <w:r>
              <w:t xml:space="preserve"> 012-2020-MINEDU.</w:t>
            </w:r>
          </w:p>
          <w:p w14:paraId="55FB2955" w14:textId="77777777" w:rsidR="00A062DF" w:rsidRPr="00AD106A" w:rsidRDefault="00A062DF" w:rsidP="00680DF4">
            <w:pPr>
              <w:jc w:val="both"/>
              <w:rPr>
                <w:lang w:val="en-AU"/>
              </w:rPr>
            </w:pPr>
            <w:r w:rsidRPr="00F7044A">
              <w:rPr>
                <w:color w:val="000000" w:themeColor="text1"/>
                <w:lang w:val="en-AU"/>
              </w:rPr>
              <w:t xml:space="preserve">LINK: </w:t>
            </w:r>
            <w:r w:rsidRPr="002F4A30">
              <w:rPr>
                <w:color w:val="0070C0"/>
                <w:u w:val="single"/>
                <w:lang w:val="en-AU"/>
              </w:rPr>
              <w:t>https://www.gob.pe/institucion/minedu/informes-publicaciones/1129291-politica-nacional-de-educacion-superior-y-tecnico-productiva</w:t>
            </w:r>
          </w:p>
          <w:p w14:paraId="6CCECABE" w14:textId="77777777" w:rsidR="000B2B9A" w:rsidRPr="007F2000" w:rsidRDefault="000B2B9A" w:rsidP="00680DF4">
            <w:pPr>
              <w:jc w:val="both"/>
              <w:rPr>
                <w:lang w:val="en-US"/>
              </w:rPr>
            </w:pPr>
          </w:p>
          <w:p w14:paraId="214479A3" w14:textId="77777777" w:rsidR="005B4C21" w:rsidRPr="007F2000" w:rsidRDefault="005B4C21" w:rsidP="00680DF4">
            <w:pPr>
              <w:jc w:val="both"/>
              <w:rPr>
                <w:sz w:val="12"/>
                <w:lang w:val="en-US"/>
              </w:rPr>
            </w:pPr>
          </w:p>
        </w:tc>
      </w:tr>
      <w:tr w:rsidR="00057AB6" w:rsidRPr="007F2000" w14:paraId="08632259" w14:textId="77777777" w:rsidTr="49FCA53F">
        <w:trPr>
          <w:trHeight w:val="260"/>
        </w:trPr>
        <w:tc>
          <w:tcPr>
            <w:tcW w:w="8529" w:type="dxa"/>
            <w:tcBorders>
              <w:left w:val="single" w:sz="4" w:space="0" w:color="auto"/>
            </w:tcBorders>
            <w:shd w:val="clear" w:color="auto" w:fill="000000" w:themeFill="text1"/>
          </w:tcPr>
          <w:p w14:paraId="7155EC9C" w14:textId="7BFE43B5" w:rsidR="00002FFB" w:rsidRPr="007F2000" w:rsidRDefault="00F95B43" w:rsidP="00057AB6">
            <w:r w:rsidRPr="007F2000">
              <w:rPr>
                <w:b/>
              </w:rPr>
              <w:t>Estándares de Calidad</w:t>
            </w:r>
          </w:p>
        </w:tc>
      </w:tr>
      <w:tr w:rsidR="00002FFB" w:rsidRPr="002F4A30" w14:paraId="094E85F5" w14:textId="77777777" w:rsidTr="49FCA53F">
        <w:trPr>
          <w:trHeight w:val="260"/>
        </w:trPr>
        <w:tc>
          <w:tcPr>
            <w:tcW w:w="8529" w:type="dxa"/>
            <w:tcBorders>
              <w:left w:val="single" w:sz="4" w:space="0" w:color="auto"/>
            </w:tcBorders>
          </w:tcPr>
          <w:p w14:paraId="64874914" w14:textId="54D96829"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5265E7B5" w:rsidR="006113CA" w:rsidRPr="001D5FE1" w:rsidRDefault="006113CA" w:rsidP="001D5FE1">
            <w:pPr>
              <w:jc w:val="both"/>
            </w:pPr>
          </w:p>
          <w:p w14:paraId="2A71C57E" w14:textId="61079B35" w:rsidR="001D5FE1" w:rsidRDefault="001D5FE1" w:rsidP="001D5FE1">
            <w:pPr>
              <w:jc w:val="both"/>
            </w:pPr>
            <w:r>
              <w:t xml:space="preserve">A continuación, se presenta la descripción de los siguientes estándares de calidad identificados en el marco del </w:t>
            </w:r>
            <w:r w:rsidR="00E63D90">
              <w:t>SNPMGI</w:t>
            </w:r>
            <w:r w:rsidR="29E0D827">
              <w:t>,</w:t>
            </w:r>
            <w:r w:rsidR="00E63D90">
              <w:t xml:space="preserve"> </w:t>
            </w:r>
            <w:r>
              <w:t xml:space="preserve">para el </w:t>
            </w:r>
            <w:r w:rsidR="00C57011">
              <w:t>S</w:t>
            </w:r>
            <w:r>
              <w:t>ervicio de Educación Superior Artística:</w:t>
            </w:r>
          </w:p>
          <w:p w14:paraId="12AACE5C" w14:textId="77777777" w:rsidR="00A062DF" w:rsidRDefault="00A062DF" w:rsidP="001D5FE1">
            <w:pPr>
              <w:jc w:val="both"/>
            </w:pPr>
          </w:p>
          <w:p w14:paraId="731AA1E1" w14:textId="34A4DDBF" w:rsidR="001D5FE1" w:rsidRPr="001D5FE1" w:rsidRDefault="4FF335BA" w:rsidP="001D5FE1">
            <w:pPr>
              <w:jc w:val="both"/>
            </w:pPr>
            <w:r w:rsidRPr="49FCA53F">
              <w:rPr>
                <w:b/>
                <w:bCs/>
              </w:rPr>
              <w:t>i. Reglamento Nacional de Edificaciones y sus modificatorias</w:t>
            </w:r>
          </w:p>
          <w:p w14:paraId="78B81863" w14:textId="77777777" w:rsidR="002D219C" w:rsidRDefault="002D219C" w:rsidP="49FCA53F">
            <w:pPr>
              <w:jc w:val="both"/>
            </w:pPr>
          </w:p>
          <w:p w14:paraId="5FC11E9C" w14:textId="114F906C" w:rsidR="001D5FE1" w:rsidRDefault="001D5FE1" w:rsidP="49FCA53F">
            <w:pPr>
              <w:jc w:val="both"/>
            </w:pPr>
            <w:r>
              <w:t>El Reglamento Nacional de Edificaciones tiene por objetivo normar los criterios y requisitos mínimos para el diseño y ejecución de las habilitaciones urbanas y las edificaciones, permitiendo de esta manera una mejor ejecución de los planes urbanos</w:t>
            </w:r>
            <w:r w:rsidRPr="00511373">
              <w:t>.</w:t>
            </w:r>
            <w:r w:rsidR="467F8BFB" w:rsidRPr="00511373">
              <w:t xml:space="preserve"> (Norma </w:t>
            </w:r>
            <w:r w:rsidR="00B40883" w:rsidRPr="00511373">
              <w:t>5</w:t>
            </w:r>
            <w:r w:rsidR="467F8BFB" w:rsidRPr="00511373">
              <w:t>)</w:t>
            </w:r>
          </w:p>
          <w:p w14:paraId="34642D3E" w14:textId="02286B3C" w:rsidR="00A7022F" w:rsidRDefault="00A7022F" w:rsidP="49FCA53F">
            <w:pPr>
              <w:jc w:val="both"/>
            </w:pPr>
          </w:p>
          <w:p w14:paraId="63A689C1" w14:textId="77777777" w:rsidR="00A7022F" w:rsidRPr="001D221E" w:rsidRDefault="00A7022F" w:rsidP="49FCA53F">
            <w:pPr>
              <w:jc w:val="both"/>
              <w:rPr>
                <w:b/>
                <w:bCs/>
              </w:rPr>
            </w:pPr>
          </w:p>
          <w:p w14:paraId="0EC039D7" w14:textId="77777777" w:rsidR="001D5FE1" w:rsidRPr="001D5FE1" w:rsidRDefault="001D5FE1" w:rsidP="001D5FE1">
            <w:pPr>
              <w:jc w:val="both"/>
            </w:pPr>
          </w:p>
          <w:p w14:paraId="2C6399C6" w14:textId="6CF9AC17" w:rsidR="001D5FE1" w:rsidRPr="001D5FE1" w:rsidRDefault="4FF335BA" w:rsidP="001D5FE1">
            <w:pPr>
              <w:jc w:val="both"/>
            </w:pPr>
            <w:proofErr w:type="spellStart"/>
            <w:r w:rsidRPr="49FCA53F">
              <w:rPr>
                <w:b/>
                <w:bCs/>
              </w:rPr>
              <w:lastRenderedPageBreak/>
              <w:t>ii</w:t>
            </w:r>
            <w:proofErr w:type="spellEnd"/>
            <w:r w:rsidRPr="49FCA53F">
              <w:rPr>
                <w:b/>
                <w:bCs/>
              </w:rPr>
              <w:t xml:space="preserve">. Norma Técnica de Criterios Generales de Diseño para Infraestructura Educativa </w:t>
            </w:r>
          </w:p>
          <w:p w14:paraId="66B1255A" w14:textId="77777777" w:rsidR="00680DF4" w:rsidRDefault="00680DF4" w:rsidP="001D5FE1">
            <w:pPr>
              <w:jc w:val="both"/>
            </w:pPr>
          </w:p>
          <w:p w14:paraId="040F1AC6" w14:textId="0C4535A0" w:rsidR="001D5FE1" w:rsidRPr="001D5FE1" w:rsidRDefault="4FF335BA" w:rsidP="001D5FE1">
            <w:pPr>
              <w:jc w:val="both"/>
            </w:pPr>
            <w:r>
              <w:t>La presente norma tiene como objetivo establecer disposiciones generales para uniformizar conceptos y establecer principios y criterios de análisis, diagnóstico e identificación para el proceso de diseño de la infraestructura educativa. Algunos de los puntos que se desarrollan en esta norma son:</w:t>
            </w:r>
          </w:p>
          <w:p w14:paraId="5282C93D" w14:textId="77777777" w:rsidR="001D5FE1" w:rsidRPr="001D5FE1" w:rsidRDefault="001D5FE1" w:rsidP="001D5FE1">
            <w:pPr>
              <w:jc w:val="both"/>
            </w:pPr>
          </w:p>
          <w:p w14:paraId="14591042" w14:textId="77777777" w:rsidR="00A7022F" w:rsidRDefault="00A7022F" w:rsidP="00A7022F">
            <w:pPr>
              <w:pStyle w:val="Prrafodelista"/>
              <w:numPr>
                <w:ilvl w:val="0"/>
                <w:numId w:val="28"/>
              </w:numPr>
              <w:jc w:val="both"/>
            </w:pPr>
            <w:r>
              <w:t>Principios generales de diseño aplicables a la infraestructura educativa.</w:t>
            </w:r>
          </w:p>
          <w:p w14:paraId="37D180DB" w14:textId="77777777" w:rsidR="00A7022F" w:rsidRDefault="00A7022F" w:rsidP="00A7022F">
            <w:pPr>
              <w:pStyle w:val="Prrafodelista"/>
              <w:numPr>
                <w:ilvl w:val="0"/>
                <w:numId w:val="28"/>
              </w:numPr>
              <w:jc w:val="both"/>
            </w:pPr>
            <w:r>
              <w:t>Criterios para el diseño arquitectónico.</w:t>
            </w:r>
          </w:p>
          <w:p w14:paraId="7B4912F8" w14:textId="77777777" w:rsidR="00A7022F" w:rsidRDefault="00A7022F" w:rsidP="00A7022F">
            <w:pPr>
              <w:pStyle w:val="Prrafodelista"/>
              <w:numPr>
                <w:ilvl w:val="0"/>
                <w:numId w:val="28"/>
              </w:numPr>
              <w:jc w:val="both"/>
            </w:pPr>
            <w:r>
              <w:t>Criterios para el diseño estructural</w:t>
            </w:r>
          </w:p>
          <w:p w14:paraId="3D69A3E3" w14:textId="77777777" w:rsidR="00A7022F" w:rsidRDefault="00A7022F" w:rsidP="00A7022F">
            <w:pPr>
              <w:pStyle w:val="Prrafodelista"/>
              <w:numPr>
                <w:ilvl w:val="0"/>
                <w:numId w:val="28"/>
              </w:numPr>
              <w:jc w:val="both"/>
            </w:pPr>
            <w:r>
              <w:t>Ambientes del local educativo</w:t>
            </w:r>
          </w:p>
          <w:p w14:paraId="18C1159B" w14:textId="77777777" w:rsidR="00A7022F" w:rsidRDefault="00A7022F" w:rsidP="00A7022F">
            <w:pPr>
              <w:pStyle w:val="Prrafodelista"/>
              <w:numPr>
                <w:ilvl w:val="0"/>
                <w:numId w:val="28"/>
              </w:numPr>
              <w:jc w:val="both"/>
            </w:pPr>
            <w:r>
              <w:t>Clasificación de ambientes</w:t>
            </w:r>
          </w:p>
          <w:p w14:paraId="4266A27E" w14:textId="77777777" w:rsidR="00A7022F" w:rsidRDefault="00A7022F" w:rsidP="00A7022F">
            <w:pPr>
              <w:pStyle w:val="Prrafodelista"/>
              <w:numPr>
                <w:ilvl w:val="0"/>
                <w:numId w:val="28"/>
              </w:numPr>
              <w:jc w:val="both"/>
            </w:pPr>
            <w:r>
              <w:t>Programación arquitectónica del local educativo</w:t>
            </w:r>
          </w:p>
          <w:p w14:paraId="767484AD" w14:textId="77777777" w:rsidR="00A7022F" w:rsidRDefault="00A7022F" w:rsidP="00A7022F">
            <w:pPr>
              <w:pStyle w:val="Prrafodelista"/>
              <w:numPr>
                <w:ilvl w:val="0"/>
                <w:numId w:val="28"/>
              </w:numPr>
              <w:jc w:val="both"/>
            </w:pPr>
            <w:r>
              <w:t>Mantenimiento</w:t>
            </w:r>
          </w:p>
          <w:p w14:paraId="6F12D6EF" w14:textId="0B686697" w:rsidR="00A7022F" w:rsidRDefault="00A7022F" w:rsidP="00A7022F">
            <w:pPr>
              <w:pStyle w:val="Prrafodelista"/>
              <w:numPr>
                <w:ilvl w:val="0"/>
                <w:numId w:val="28"/>
              </w:numPr>
              <w:jc w:val="both"/>
            </w:pPr>
            <w:r>
              <w:t xml:space="preserve">Limpieza, gestión y manejo de residuos sólidos (Norma </w:t>
            </w:r>
            <w:r>
              <w:t>6</w:t>
            </w:r>
            <w:r>
              <w:t>)</w:t>
            </w:r>
          </w:p>
          <w:p w14:paraId="3AF4CB5A" w14:textId="77777777" w:rsidR="000B2B9A" w:rsidRDefault="000B2B9A" w:rsidP="00057AB6"/>
          <w:p w14:paraId="3E9AE4E4" w14:textId="5E5D4D8F" w:rsidR="00A062DF" w:rsidRPr="00A062DF" w:rsidRDefault="4FF335BA" w:rsidP="00057AB6">
            <w:proofErr w:type="spellStart"/>
            <w:r w:rsidRPr="001D221E">
              <w:rPr>
                <w:b/>
                <w:bCs/>
              </w:rPr>
              <w:t>iii</w:t>
            </w:r>
            <w:proofErr w:type="spellEnd"/>
            <w:r w:rsidRPr="001D221E">
              <w:rPr>
                <w:b/>
                <w:bCs/>
              </w:rPr>
              <w:t xml:space="preserve">. “Norma Técnica de Infraestructura para Locales de Educación Superior” </w:t>
            </w:r>
          </w:p>
          <w:p w14:paraId="2C941307" w14:textId="77777777" w:rsidR="00680DF4" w:rsidRDefault="00680DF4" w:rsidP="49FCA53F">
            <w:pPr>
              <w:jc w:val="both"/>
            </w:pPr>
          </w:p>
          <w:p w14:paraId="2C100033" w14:textId="7A1D8973" w:rsidR="00A062DF" w:rsidRPr="001D221E" w:rsidRDefault="00A062DF" w:rsidP="00B7264B">
            <w:pPr>
              <w:jc w:val="both"/>
              <w:rPr>
                <w:b/>
                <w:bCs/>
              </w:rPr>
            </w:pPr>
            <w:r w:rsidRPr="001D221E">
              <w:t>Establece los parámetros mínimos que deben considerarse al momento de diseñar, ejecutar y supervisar edificaciones que albergarán instituciones educativas de nivel superior, con el propósito de garantizar que su infraestructura reúna las condiciones necesarias para que las misma sea apta para las labores d</w:t>
            </w:r>
            <w:r w:rsidR="00680DF4">
              <w:t>e</w:t>
            </w:r>
            <w:r w:rsidRPr="001D221E">
              <w:t xml:space="preserve"> enseñanza y aprendizaje dentro de los estándares de calidad que el MINEDU propone</w:t>
            </w:r>
            <w:r w:rsidRPr="00511373">
              <w:t>.</w:t>
            </w:r>
          </w:p>
          <w:p w14:paraId="18408D19" w14:textId="77777777" w:rsidR="00A062DF" w:rsidRDefault="00A062DF" w:rsidP="00B7264B">
            <w:pPr>
              <w:jc w:val="both"/>
            </w:pPr>
          </w:p>
          <w:p w14:paraId="7C102A42" w14:textId="77777777" w:rsidR="00E45264" w:rsidRPr="001D5FE1" w:rsidRDefault="00E45264" w:rsidP="00E45264">
            <w:pPr>
              <w:jc w:val="both"/>
            </w:pPr>
            <w:r w:rsidRPr="001D5FE1">
              <w:t xml:space="preserve">• </w:t>
            </w:r>
            <w:r>
              <w:t>Planeamiento arquitectónico</w:t>
            </w:r>
          </w:p>
          <w:p w14:paraId="13322D26" w14:textId="77777777" w:rsidR="00E45264" w:rsidRPr="001D5FE1" w:rsidRDefault="00E45264" w:rsidP="00E45264">
            <w:pPr>
              <w:jc w:val="both"/>
            </w:pPr>
            <w:r w:rsidRPr="001D5FE1">
              <w:t xml:space="preserve">• </w:t>
            </w:r>
            <w:r>
              <w:t>Criterios para el dimensionamiento</w:t>
            </w:r>
          </w:p>
          <w:p w14:paraId="06FAD85C" w14:textId="77777777" w:rsidR="00E45264" w:rsidRPr="001D5FE1" w:rsidRDefault="00E45264" w:rsidP="00E45264">
            <w:pPr>
              <w:jc w:val="both"/>
            </w:pPr>
            <w:r w:rsidRPr="001D5FE1">
              <w:t xml:space="preserve">• </w:t>
            </w:r>
            <w:r>
              <w:t>Estándares</w:t>
            </w:r>
            <w:r w:rsidRPr="001D5FE1">
              <w:t xml:space="preserve"> </w:t>
            </w:r>
            <w:r>
              <w:t>de infraestructura educativa</w:t>
            </w:r>
          </w:p>
          <w:p w14:paraId="604AF4D2" w14:textId="77777777" w:rsidR="00E45264" w:rsidRPr="001D221E" w:rsidRDefault="00E45264" w:rsidP="00E45264">
            <w:pPr>
              <w:jc w:val="both"/>
              <w:rPr>
                <w:b/>
                <w:bCs/>
              </w:rPr>
            </w:pPr>
            <w:r>
              <w:t>• Criterios sobre instalaciones, entre otros</w:t>
            </w:r>
            <w:r w:rsidRPr="00511373">
              <w:t xml:space="preserve">. (Norma </w:t>
            </w:r>
            <w:r>
              <w:t>7</w:t>
            </w:r>
            <w:r w:rsidRPr="00511373">
              <w:t>)</w:t>
            </w:r>
          </w:p>
          <w:p w14:paraId="00469022" w14:textId="77777777" w:rsidR="00E45264" w:rsidRDefault="00E45264" w:rsidP="00B7264B">
            <w:pPr>
              <w:jc w:val="both"/>
            </w:pPr>
          </w:p>
          <w:p w14:paraId="72489374" w14:textId="77777777" w:rsidR="00507200" w:rsidRDefault="00507200" w:rsidP="00507200">
            <w:pPr>
              <w:jc w:val="both"/>
              <w:rPr>
                <w:b/>
              </w:rPr>
            </w:pPr>
            <w:r>
              <w:rPr>
                <w:b/>
              </w:rPr>
              <w:t>v. Guía de Estrategias de Diseño Bioclimático para el Confort Térmico</w:t>
            </w:r>
          </w:p>
          <w:p w14:paraId="654DCEBC" w14:textId="77777777" w:rsidR="00507200" w:rsidRDefault="00507200" w:rsidP="00507200">
            <w:pPr>
              <w:jc w:val="both"/>
              <w:rPr>
                <w:b/>
              </w:rPr>
            </w:pPr>
          </w:p>
          <w:p w14:paraId="7500FD67" w14:textId="77777777" w:rsidR="00507200" w:rsidRDefault="00507200" w:rsidP="00507200">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420642F7" w14:textId="77777777" w:rsidR="00507200" w:rsidRDefault="00507200" w:rsidP="00507200">
            <w:pPr>
              <w:jc w:val="both"/>
              <w:rPr>
                <w:bCs/>
              </w:rPr>
            </w:pPr>
          </w:p>
          <w:p w14:paraId="0543E2F6" w14:textId="77777777" w:rsidR="00507200" w:rsidRDefault="00507200" w:rsidP="00507200">
            <w:pPr>
              <w:jc w:val="both"/>
            </w:pPr>
            <w:r w:rsidRPr="00AB5711">
              <w:t xml:space="preserve">• </w:t>
            </w:r>
            <w:r>
              <w:t>Variables de confort térmico</w:t>
            </w:r>
          </w:p>
          <w:p w14:paraId="1866BA0E" w14:textId="77777777" w:rsidR="00507200" w:rsidRDefault="00507200" w:rsidP="00507200">
            <w:pPr>
              <w:jc w:val="both"/>
            </w:pPr>
            <w:r w:rsidRPr="00AB5711">
              <w:t xml:space="preserve">• </w:t>
            </w:r>
            <w:r>
              <w:t>Recomendaciones para determinar la zona de confort térmico</w:t>
            </w:r>
          </w:p>
          <w:p w14:paraId="37FC77E3" w14:textId="57C6F49F" w:rsidR="00507200" w:rsidRDefault="00507200" w:rsidP="00507200">
            <w:pPr>
              <w:jc w:val="both"/>
            </w:pPr>
            <w:r w:rsidRPr="00AB5711">
              <w:t xml:space="preserve">• </w:t>
            </w:r>
            <w:r>
              <w:t>Estrategias generales de diseño bioclimático, entre otros (</w:t>
            </w:r>
            <w:r w:rsidR="00C73F38">
              <w:t>Norma</w:t>
            </w:r>
            <w:r>
              <w:t xml:space="preserve"> </w:t>
            </w:r>
            <w:r w:rsidR="00C73F38">
              <w:t>8</w:t>
            </w:r>
            <w:r>
              <w:t>)</w:t>
            </w:r>
          </w:p>
          <w:p w14:paraId="3A660505" w14:textId="77777777" w:rsidR="00507200" w:rsidRDefault="00507200" w:rsidP="00B7264B">
            <w:pPr>
              <w:jc w:val="both"/>
            </w:pPr>
          </w:p>
          <w:p w14:paraId="133C1640" w14:textId="4E045F7E" w:rsidR="00002FFB" w:rsidRPr="007F2000" w:rsidRDefault="00B72BD7" w:rsidP="00B7264B">
            <w:pPr>
              <w:jc w:val="both"/>
            </w:pPr>
            <w:r w:rsidRPr="007F2000">
              <w:rPr>
                <w:b/>
              </w:rPr>
              <w:t>Norma Legal</w:t>
            </w:r>
            <w:r w:rsidR="00F95B43" w:rsidRPr="007F2000">
              <w:rPr>
                <w:b/>
              </w:rPr>
              <w:t>:</w:t>
            </w:r>
          </w:p>
          <w:p w14:paraId="032E5AB6" w14:textId="77777777" w:rsidR="00002FFB" w:rsidRPr="001D5FE1" w:rsidRDefault="00002FFB" w:rsidP="00B7264B">
            <w:pPr>
              <w:jc w:val="both"/>
              <w:rPr>
                <w:sz w:val="18"/>
              </w:rPr>
            </w:pPr>
          </w:p>
          <w:p w14:paraId="5531B534" w14:textId="7CFB7476" w:rsidR="001D5FE1" w:rsidRDefault="4FF335BA" w:rsidP="00B7264B">
            <w:pPr>
              <w:jc w:val="both"/>
            </w:pPr>
            <w:r w:rsidRPr="00511373">
              <w:t xml:space="preserve">(Norma </w:t>
            </w:r>
            <w:r w:rsidR="00B40883" w:rsidRPr="00511373">
              <w:t>5</w:t>
            </w:r>
            <w:r w:rsidRPr="00511373">
              <w:t>)</w:t>
            </w:r>
            <w:r>
              <w:t xml:space="preserve"> Normas Técnicas del Reglamento Nacional de Edificaciones – RNE, aprobada con Decreto Supremo </w:t>
            </w:r>
            <w:proofErr w:type="spellStart"/>
            <w:r>
              <w:t>N°</w:t>
            </w:r>
            <w:proofErr w:type="spellEnd"/>
            <w:r>
              <w:t xml:space="preserve"> 011-2006-Vivienda y sus actualizaciones.</w:t>
            </w:r>
          </w:p>
          <w:p w14:paraId="6F017038" w14:textId="07D40340" w:rsidR="001D5FE1" w:rsidRPr="001D5FE1" w:rsidRDefault="001D5FE1" w:rsidP="00B7264B">
            <w:pPr>
              <w:jc w:val="both"/>
              <w:rPr>
                <w:lang w:val="en-AU"/>
              </w:rPr>
            </w:pPr>
            <w:r w:rsidRPr="001D5FE1">
              <w:rPr>
                <w:lang w:val="en-AU"/>
              </w:rPr>
              <w:t xml:space="preserve">LINK: </w:t>
            </w:r>
            <w:r w:rsidRPr="002F4A30">
              <w:rPr>
                <w:color w:val="0070C0"/>
                <w:u w:val="single"/>
                <w:lang w:val="en-AU"/>
              </w:rPr>
              <w:t>http://www.construccion.org/normas/rne2012/rne2006.htm</w:t>
            </w:r>
          </w:p>
          <w:p w14:paraId="253AF680" w14:textId="77777777" w:rsidR="001D5FE1" w:rsidRPr="001D5FE1" w:rsidRDefault="001D5FE1" w:rsidP="00B7264B">
            <w:pPr>
              <w:jc w:val="both"/>
              <w:rPr>
                <w:lang w:val="en-AU"/>
              </w:rPr>
            </w:pPr>
          </w:p>
          <w:p w14:paraId="3830A320" w14:textId="6CB7033B" w:rsidR="00A7022F" w:rsidRDefault="00A7022F" w:rsidP="00A7022F">
            <w:pPr>
              <w:jc w:val="both"/>
            </w:pPr>
            <w:r>
              <w:t xml:space="preserve">(Norma </w:t>
            </w:r>
            <w:r>
              <w:t>6</w:t>
            </w:r>
            <w:r>
              <w:t xml:space="preserve">) Norma Técnica “Criterios Generales de Diseño para la Infraestructura Educativa”, aprobada con la Resolución Viceministerial </w:t>
            </w:r>
            <w:proofErr w:type="spellStart"/>
            <w:r>
              <w:t>N°</w:t>
            </w:r>
            <w:proofErr w:type="spellEnd"/>
            <w:r>
              <w:t xml:space="preserve"> 068-2025-MINEDU. </w:t>
            </w:r>
          </w:p>
          <w:p w14:paraId="3CEEC9A8" w14:textId="77777777" w:rsidR="00A7022F" w:rsidRDefault="00A7022F" w:rsidP="00A7022F">
            <w:pPr>
              <w:jc w:val="both"/>
              <w:rPr>
                <w:lang w:val="en-US"/>
              </w:rPr>
            </w:pPr>
            <w:r w:rsidRPr="00197F7E">
              <w:rPr>
                <w:lang w:val="en-US"/>
              </w:rPr>
              <w:t xml:space="preserve">Link: </w:t>
            </w:r>
            <w:hyperlink r:id="rId12" w:history="1">
              <w:r w:rsidRPr="00984747">
                <w:rPr>
                  <w:rStyle w:val="Hipervnculo"/>
                  <w:lang w:val="en-US"/>
                </w:rPr>
                <w:t>https://www.minedu.gob.pe/p/app_normatividad.php</w:t>
              </w:r>
            </w:hyperlink>
          </w:p>
          <w:p w14:paraId="0373F414" w14:textId="09E5C500" w:rsidR="49FCA53F" w:rsidRPr="00A7022F" w:rsidRDefault="49FCA53F" w:rsidP="00B7264B">
            <w:pPr>
              <w:jc w:val="both"/>
              <w:rPr>
                <w:rStyle w:val="Hipervnculo"/>
                <w:lang w:val="en-US"/>
              </w:rPr>
            </w:pPr>
          </w:p>
          <w:p w14:paraId="3BE0227A" w14:textId="385C3283" w:rsidR="00A062DF" w:rsidRPr="001D221E" w:rsidRDefault="4FF335BA" w:rsidP="00B7264B">
            <w:pPr>
              <w:jc w:val="both"/>
            </w:pPr>
            <w:r w:rsidRPr="001D221E">
              <w:t>(</w:t>
            </w:r>
            <w:r w:rsidRPr="00511373">
              <w:t xml:space="preserve">Norma </w:t>
            </w:r>
            <w:r w:rsidR="00B40883" w:rsidRPr="00511373">
              <w:t>7</w:t>
            </w:r>
            <w:r w:rsidRPr="00511373">
              <w:t>)</w:t>
            </w:r>
            <w:r w:rsidRPr="001D221E">
              <w:t xml:space="preserve"> Norma técnica denominada “Norma Técnica de Infraestructura para Locales de Educación Superior”, aprobada por R</w:t>
            </w:r>
            <w:r>
              <w:t xml:space="preserve">esolución Viceministerial </w:t>
            </w:r>
            <w:proofErr w:type="spellStart"/>
            <w:r w:rsidRPr="001D221E">
              <w:t>Nº</w:t>
            </w:r>
            <w:proofErr w:type="spellEnd"/>
            <w:r w:rsidRPr="001D221E">
              <w:t xml:space="preserve"> 017-2015-MINEDU.</w:t>
            </w:r>
          </w:p>
          <w:p w14:paraId="20976F46" w14:textId="77777777" w:rsidR="00A062DF" w:rsidRPr="004223E6" w:rsidRDefault="00A062DF" w:rsidP="00B7264B">
            <w:pPr>
              <w:jc w:val="both"/>
              <w:rPr>
                <w:lang w:val="en-US"/>
              </w:rPr>
            </w:pPr>
            <w:r w:rsidRPr="004223E6">
              <w:rPr>
                <w:lang w:val="en-US"/>
              </w:rPr>
              <w:lastRenderedPageBreak/>
              <w:t xml:space="preserve">LINK: </w:t>
            </w:r>
            <w:hyperlink r:id="rId13" w:history="1">
              <w:r w:rsidRPr="004223E6">
                <w:rPr>
                  <w:rStyle w:val="Hipervnculo"/>
                  <w:lang w:val="en-US"/>
                </w:rPr>
                <w:t>https://www.minedu.gob.pe/superiortecnologica/pdf/rvm-n-017-2015-minedu.pdf</w:t>
              </w:r>
            </w:hyperlink>
          </w:p>
          <w:p w14:paraId="19025966" w14:textId="77777777" w:rsidR="001D5FE1" w:rsidRPr="00511373" w:rsidRDefault="001D5FE1" w:rsidP="00B7264B">
            <w:pPr>
              <w:jc w:val="both"/>
              <w:rPr>
                <w:sz w:val="16"/>
                <w:szCs w:val="16"/>
                <w:lang w:val="en-AU"/>
              </w:rPr>
            </w:pPr>
          </w:p>
          <w:p w14:paraId="4BC46D17" w14:textId="41E5F979" w:rsidR="00507200" w:rsidRPr="00431FD8" w:rsidRDefault="00507200" w:rsidP="00507200">
            <w:pPr>
              <w:jc w:val="both"/>
              <w:rPr>
                <w:lang w:val="en-US"/>
              </w:rPr>
            </w:pPr>
            <w:r>
              <w:t>(</w:t>
            </w:r>
            <w:r w:rsidR="00C73F38">
              <w:t>Norma</w:t>
            </w:r>
            <w:r>
              <w:t xml:space="preserve"> </w:t>
            </w:r>
            <w:r w:rsidR="00C73F38">
              <w:t>8</w:t>
            </w:r>
            <w:r>
              <w:t xml:space="preserve">) Guía de Estrategias de Diseño Bioclimático para el Confort Térmico. </w:t>
            </w:r>
            <w:r w:rsidRPr="00431FD8">
              <w:rPr>
                <w:lang w:val="en-US"/>
              </w:rPr>
              <w:t>Link: http://www.minedu.gob.pe/p/pdf/guia-de-disenio-bioclimatico.pdf</w:t>
            </w:r>
          </w:p>
          <w:p w14:paraId="7A87C377" w14:textId="77777777" w:rsidR="00507200" w:rsidRDefault="00507200" w:rsidP="00B7264B">
            <w:pPr>
              <w:jc w:val="both"/>
              <w:rPr>
                <w:lang w:val="en-AU"/>
              </w:rPr>
            </w:pPr>
          </w:p>
          <w:p w14:paraId="7643277B" w14:textId="70F4A59E" w:rsidR="00726A7E" w:rsidRPr="004223E6" w:rsidRDefault="00726A7E" w:rsidP="00EA5E5C">
            <w:pPr>
              <w:jc w:val="both"/>
            </w:pPr>
            <w:r>
              <w:t>La OPMI del Sector Educación puede identificar como estándar de calidad otras normas que considere pertinentes.</w:t>
            </w:r>
          </w:p>
        </w:tc>
      </w:tr>
    </w:tbl>
    <w:p w14:paraId="18039090" w14:textId="77777777" w:rsidR="002D219C" w:rsidRPr="004223E6" w:rsidRDefault="002D219C" w:rsidP="00057AB6">
      <w:pPr>
        <w:spacing w:after="0" w:line="240" w:lineRule="auto"/>
      </w:pPr>
    </w:p>
    <w:sectPr w:rsidR="002D219C" w:rsidRPr="004223E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62A2" w14:textId="77777777" w:rsidR="00705287" w:rsidRDefault="00705287">
      <w:pPr>
        <w:spacing w:after="0" w:line="240" w:lineRule="auto"/>
      </w:pPr>
      <w:r>
        <w:separator/>
      </w:r>
    </w:p>
  </w:endnote>
  <w:endnote w:type="continuationSeparator" w:id="0">
    <w:p w14:paraId="56A2DFAF" w14:textId="77777777" w:rsidR="00705287" w:rsidRDefault="007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C0F0" w14:textId="77777777" w:rsidR="00705287" w:rsidRDefault="00705287">
      <w:pPr>
        <w:spacing w:after="0" w:line="240" w:lineRule="auto"/>
      </w:pPr>
      <w:r>
        <w:separator/>
      </w:r>
    </w:p>
  </w:footnote>
  <w:footnote w:type="continuationSeparator" w:id="0">
    <w:p w14:paraId="41173950" w14:textId="77777777" w:rsidR="00705287" w:rsidRDefault="00705287">
      <w:pPr>
        <w:spacing w:after="0" w:line="240" w:lineRule="auto"/>
      </w:pPr>
      <w:r>
        <w:continuationSeparator/>
      </w:r>
    </w:p>
  </w:footnote>
  <w:footnote w:id="1">
    <w:p w14:paraId="4CCD00D9" w14:textId="6B8B0411" w:rsidR="00F60777" w:rsidRPr="00431FD8" w:rsidRDefault="00F60777">
      <w:pPr>
        <w:pStyle w:val="Textonotapie"/>
        <w:rPr>
          <w:lang w:val="es-ES"/>
        </w:rPr>
      </w:pPr>
      <w:r>
        <w:rPr>
          <w:rStyle w:val="Refdenotaalpie"/>
        </w:rPr>
        <w:footnoteRef/>
      </w:r>
      <w:r>
        <w:t xml:space="preserve"> </w:t>
      </w:r>
      <w:r>
        <w:rPr>
          <w:lang w:val="es-ES"/>
        </w:rPr>
        <w:t>Escuelas Superiores de Formación Artística</w:t>
      </w:r>
      <w:r w:rsidR="00F42909">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5" w15:restartNumberingAfterBreak="0">
    <w:nsid w:val="1D335822"/>
    <w:multiLevelType w:val="hybridMultilevel"/>
    <w:tmpl w:val="95266E20"/>
    <w:lvl w:ilvl="0" w:tplc="C018EBC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8"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8"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0"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2"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9"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abstractNumId w:val="1"/>
  </w:num>
  <w:num w:numId="2">
    <w:abstractNumId w:val="2"/>
  </w:num>
  <w:num w:numId="3">
    <w:abstractNumId w:val="9"/>
  </w:num>
  <w:num w:numId="4">
    <w:abstractNumId w:val="26"/>
  </w:num>
  <w:num w:numId="5">
    <w:abstractNumId w:val="27"/>
  </w:num>
  <w:num w:numId="6">
    <w:abstractNumId w:val="28"/>
  </w:num>
  <w:num w:numId="7">
    <w:abstractNumId w:val="6"/>
  </w:num>
  <w:num w:numId="8">
    <w:abstractNumId w:val="12"/>
  </w:num>
  <w:num w:numId="9">
    <w:abstractNumId w:val="22"/>
  </w:num>
  <w:num w:numId="10">
    <w:abstractNumId w:val="24"/>
  </w:num>
  <w:num w:numId="11">
    <w:abstractNumId w:val="19"/>
  </w:num>
  <w:num w:numId="12">
    <w:abstractNumId w:val="16"/>
  </w:num>
  <w:num w:numId="13">
    <w:abstractNumId w:val="3"/>
  </w:num>
  <w:num w:numId="14">
    <w:abstractNumId w:val="11"/>
  </w:num>
  <w:num w:numId="15">
    <w:abstractNumId w:val="17"/>
  </w:num>
  <w:num w:numId="16">
    <w:abstractNumId w:val="29"/>
  </w:num>
  <w:num w:numId="17">
    <w:abstractNumId w:val="13"/>
  </w:num>
  <w:num w:numId="18">
    <w:abstractNumId w:val="10"/>
  </w:num>
  <w:num w:numId="19">
    <w:abstractNumId w:val="7"/>
  </w:num>
  <w:num w:numId="20">
    <w:abstractNumId w:val="21"/>
  </w:num>
  <w:num w:numId="21">
    <w:abstractNumId w:val="0"/>
  </w:num>
  <w:num w:numId="22">
    <w:abstractNumId w:val="4"/>
  </w:num>
  <w:num w:numId="23">
    <w:abstractNumId w:val="18"/>
  </w:num>
  <w:num w:numId="24">
    <w:abstractNumId w:val="15"/>
  </w:num>
  <w:num w:numId="25">
    <w:abstractNumId w:val="23"/>
  </w:num>
  <w:num w:numId="26">
    <w:abstractNumId w:val="25"/>
  </w:num>
  <w:num w:numId="27">
    <w:abstractNumId w:val="20"/>
  </w:num>
  <w:num w:numId="28">
    <w:abstractNumId w:val="14"/>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578A1"/>
    <w:rsid w:val="00057AB6"/>
    <w:rsid w:val="00072767"/>
    <w:rsid w:val="000A6481"/>
    <w:rsid w:val="000B2B9A"/>
    <w:rsid w:val="000D0231"/>
    <w:rsid w:val="000E270B"/>
    <w:rsid w:val="000E4E9A"/>
    <w:rsid w:val="000F0B83"/>
    <w:rsid w:val="000F1A5A"/>
    <w:rsid w:val="001239C0"/>
    <w:rsid w:val="001249CA"/>
    <w:rsid w:val="00155C41"/>
    <w:rsid w:val="00167E0B"/>
    <w:rsid w:val="001723A6"/>
    <w:rsid w:val="00174F0B"/>
    <w:rsid w:val="00190BF5"/>
    <w:rsid w:val="00197F7E"/>
    <w:rsid w:val="001D1C11"/>
    <w:rsid w:val="001D221E"/>
    <w:rsid w:val="001D5FE1"/>
    <w:rsid w:val="001E1ECF"/>
    <w:rsid w:val="001E4BB5"/>
    <w:rsid w:val="002078C9"/>
    <w:rsid w:val="002115D8"/>
    <w:rsid w:val="00232119"/>
    <w:rsid w:val="00264814"/>
    <w:rsid w:val="00264B7C"/>
    <w:rsid w:val="00272A7D"/>
    <w:rsid w:val="0027609D"/>
    <w:rsid w:val="002B2068"/>
    <w:rsid w:val="002B2D95"/>
    <w:rsid w:val="002B6CB0"/>
    <w:rsid w:val="002C4DBF"/>
    <w:rsid w:val="002C6A20"/>
    <w:rsid w:val="002D219C"/>
    <w:rsid w:val="002E0158"/>
    <w:rsid w:val="002F4A30"/>
    <w:rsid w:val="00304A3E"/>
    <w:rsid w:val="00326B61"/>
    <w:rsid w:val="003314E6"/>
    <w:rsid w:val="00337944"/>
    <w:rsid w:val="00350AB9"/>
    <w:rsid w:val="00362254"/>
    <w:rsid w:val="0037417D"/>
    <w:rsid w:val="003A142E"/>
    <w:rsid w:val="003B01DC"/>
    <w:rsid w:val="003B200B"/>
    <w:rsid w:val="003B709B"/>
    <w:rsid w:val="003E5003"/>
    <w:rsid w:val="003E63BE"/>
    <w:rsid w:val="003F2F71"/>
    <w:rsid w:val="003F4B0B"/>
    <w:rsid w:val="004223E6"/>
    <w:rsid w:val="00431FD8"/>
    <w:rsid w:val="00437032"/>
    <w:rsid w:val="00444163"/>
    <w:rsid w:val="004574E5"/>
    <w:rsid w:val="0046570A"/>
    <w:rsid w:val="00465BC7"/>
    <w:rsid w:val="004739FB"/>
    <w:rsid w:val="00480A6B"/>
    <w:rsid w:val="00490714"/>
    <w:rsid w:val="004B52DF"/>
    <w:rsid w:val="004C5E7A"/>
    <w:rsid w:val="0050449A"/>
    <w:rsid w:val="00507200"/>
    <w:rsid w:val="00511373"/>
    <w:rsid w:val="005146F1"/>
    <w:rsid w:val="00525E19"/>
    <w:rsid w:val="00526C3B"/>
    <w:rsid w:val="00534073"/>
    <w:rsid w:val="0054519D"/>
    <w:rsid w:val="00594BD7"/>
    <w:rsid w:val="005B4C21"/>
    <w:rsid w:val="005C4F7E"/>
    <w:rsid w:val="005D773F"/>
    <w:rsid w:val="005E4533"/>
    <w:rsid w:val="005E4A31"/>
    <w:rsid w:val="005E5D4D"/>
    <w:rsid w:val="006113CA"/>
    <w:rsid w:val="00613623"/>
    <w:rsid w:val="0063513E"/>
    <w:rsid w:val="00640C88"/>
    <w:rsid w:val="00674DD5"/>
    <w:rsid w:val="00680DE7"/>
    <w:rsid w:val="00680DF4"/>
    <w:rsid w:val="006814CE"/>
    <w:rsid w:val="00682593"/>
    <w:rsid w:val="00686266"/>
    <w:rsid w:val="006A3EBA"/>
    <w:rsid w:val="006D225B"/>
    <w:rsid w:val="006E3963"/>
    <w:rsid w:val="006F012B"/>
    <w:rsid w:val="00705287"/>
    <w:rsid w:val="0072578E"/>
    <w:rsid w:val="00726A7E"/>
    <w:rsid w:val="00730AAA"/>
    <w:rsid w:val="007349A4"/>
    <w:rsid w:val="00734AEC"/>
    <w:rsid w:val="00744859"/>
    <w:rsid w:val="00747AF2"/>
    <w:rsid w:val="00753403"/>
    <w:rsid w:val="00793CA5"/>
    <w:rsid w:val="007F2000"/>
    <w:rsid w:val="007F4895"/>
    <w:rsid w:val="0080222A"/>
    <w:rsid w:val="0083243F"/>
    <w:rsid w:val="00834A04"/>
    <w:rsid w:val="00837CB5"/>
    <w:rsid w:val="00886B02"/>
    <w:rsid w:val="0089413A"/>
    <w:rsid w:val="008A3D09"/>
    <w:rsid w:val="008C42F5"/>
    <w:rsid w:val="008C5E5F"/>
    <w:rsid w:val="008C7C89"/>
    <w:rsid w:val="008D09B1"/>
    <w:rsid w:val="00920E7E"/>
    <w:rsid w:val="00922E2C"/>
    <w:rsid w:val="0093701C"/>
    <w:rsid w:val="00955BB3"/>
    <w:rsid w:val="0096436A"/>
    <w:rsid w:val="009B5F15"/>
    <w:rsid w:val="009C089A"/>
    <w:rsid w:val="009D0F64"/>
    <w:rsid w:val="009E268D"/>
    <w:rsid w:val="009F1997"/>
    <w:rsid w:val="009F7131"/>
    <w:rsid w:val="00A036AD"/>
    <w:rsid w:val="00A062DF"/>
    <w:rsid w:val="00A13447"/>
    <w:rsid w:val="00A21490"/>
    <w:rsid w:val="00A350C3"/>
    <w:rsid w:val="00A47D12"/>
    <w:rsid w:val="00A55716"/>
    <w:rsid w:val="00A7022F"/>
    <w:rsid w:val="00A80F57"/>
    <w:rsid w:val="00AC0D11"/>
    <w:rsid w:val="00AD106A"/>
    <w:rsid w:val="00AD52F2"/>
    <w:rsid w:val="00AF73E4"/>
    <w:rsid w:val="00AF782E"/>
    <w:rsid w:val="00B00F05"/>
    <w:rsid w:val="00B017E4"/>
    <w:rsid w:val="00B17F65"/>
    <w:rsid w:val="00B22419"/>
    <w:rsid w:val="00B3234C"/>
    <w:rsid w:val="00B40883"/>
    <w:rsid w:val="00B43004"/>
    <w:rsid w:val="00B479CF"/>
    <w:rsid w:val="00B52927"/>
    <w:rsid w:val="00B7264B"/>
    <w:rsid w:val="00B72BD7"/>
    <w:rsid w:val="00BB18BF"/>
    <w:rsid w:val="00BC2E30"/>
    <w:rsid w:val="00C317FE"/>
    <w:rsid w:val="00C57011"/>
    <w:rsid w:val="00C65B71"/>
    <w:rsid w:val="00C73F38"/>
    <w:rsid w:val="00C91C0D"/>
    <w:rsid w:val="00C93845"/>
    <w:rsid w:val="00CB57F1"/>
    <w:rsid w:val="00CC26EF"/>
    <w:rsid w:val="00CC6C9C"/>
    <w:rsid w:val="00CF4A10"/>
    <w:rsid w:val="00CF5FB0"/>
    <w:rsid w:val="00D130AB"/>
    <w:rsid w:val="00D31D1A"/>
    <w:rsid w:val="00D666B9"/>
    <w:rsid w:val="00D843BF"/>
    <w:rsid w:val="00D9731F"/>
    <w:rsid w:val="00DB116F"/>
    <w:rsid w:val="00DC46E7"/>
    <w:rsid w:val="00DC6005"/>
    <w:rsid w:val="00DD65CA"/>
    <w:rsid w:val="00DF5C7D"/>
    <w:rsid w:val="00E25368"/>
    <w:rsid w:val="00E434EC"/>
    <w:rsid w:val="00E45264"/>
    <w:rsid w:val="00E52BBB"/>
    <w:rsid w:val="00E63D90"/>
    <w:rsid w:val="00EA4468"/>
    <w:rsid w:val="00EA5E5C"/>
    <w:rsid w:val="00EB1895"/>
    <w:rsid w:val="00EE08C9"/>
    <w:rsid w:val="00EF4810"/>
    <w:rsid w:val="00F0576C"/>
    <w:rsid w:val="00F06E71"/>
    <w:rsid w:val="00F16EA2"/>
    <w:rsid w:val="00F1741C"/>
    <w:rsid w:val="00F2039F"/>
    <w:rsid w:val="00F25337"/>
    <w:rsid w:val="00F2589D"/>
    <w:rsid w:val="00F258A2"/>
    <w:rsid w:val="00F2659A"/>
    <w:rsid w:val="00F42909"/>
    <w:rsid w:val="00F504F1"/>
    <w:rsid w:val="00F60777"/>
    <w:rsid w:val="00F7044A"/>
    <w:rsid w:val="00F83405"/>
    <w:rsid w:val="00F95B43"/>
    <w:rsid w:val="00FB37BF"/>
    <w:rsid w:val="00FB76A0"/>
    <w:rsid w:val="00FD4E5E"/>
    <w:rsid w:val="00FF6587"/>
    <w:rsid w:val="0BE45D1E"/>
    <w:rsid w:val="10E2B37C"/>
    <w:rsid w:val="1AF42662"/>
    <w:rsid w:val="27ED9D6D"/>
    <w:rsid w:val="29E0D827"/>
    <w:rsid w:val="2E311DBA"/>
    <w:rsid w:val="3133F72F"/>
    <w:rsid w:val="3D8337D2"/>
    <w:rsid w:val="467F8BFB"/>
    <w:rsid w:val="47475CAF"/>
    <w:rsid w:val="4878C1EE"/>
    <w:rsid w:val="49FCA53F"/>
    <w:rsid w:val="4FF335BA"/>
    <w:rsid w:val="55FD5CAD"/>
    <w:rsid w:val="76E62879"/>
    <w:rsid w:val="7DC93E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A21490"/>
    <w:pPr>
      <w:spacing w:after="0" w:line="240" w:lineRule="auto"/>
    </w:pPr>
  </w:style>
  <w:style w:type="paragraph" w:styleId="NormalWeb">
    <w:name w:val="Normal (Web)"/>
    <w:basedOn w:val="Normal"/>
    <w:uiPriority w:val="99"/>
    <w:unhideWhenUsed/>
    <w:rsid w:val="00AF73E4"/>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Mencinsinresolver">
    <w:name w:val="Unresolved Mention"/>
    <w:basedOn w:val="Fuentedeprrafopredeter"/>
    <w:uiPriority w:val="99"/>
    <w:semiHidden/>
    <w:unhideWhenUsed/>
    <w:rsid w:val="00A0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b.pe/p/ley_general_de_educacion_28044.pdf" TargetMode="External"/><Relationship Id="rId13" Type="http://schemas.openxmlformats.org/officeDocument/2006/relationships/hyperlink" Target="https://www.minedu.gob.pe/superiortecnologica/pdf/rvm-n-017-2015-mined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gob.pe/p/app_normatividad.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institucion/minedu/normas-legales/118482-302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squedas.elperuano.pe/dispositivo/NL/2391918-1" TargetMode="External"/><Relationship Id="rId4" Type="http://schemas.openxmlformats.org/officeDocument/2006/relationships/settings" Target="settings.xml"/><Relationship Id="rId9" Type="http://schemas.openxmlformats.org/officeDocument/2006/relationships/hyperlink" Target="http://www.minedu.gob.pe/transparencia/2021/pdf/DS_012-2020-MINEDU.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BBB0-B4F7-4808-B7EC-BE427654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43</cp:revision>
  <dcterms:created xsi:type="dcterms:W3CDTF">2025-06-10T21:53:00Z</dcterms:created>
  <dcterms:modified xsi:type="dcterms:W3CDTF">2025-06-30T23:39:00Z</dcterms:modified>
</cp:coreProperties>
</file>