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2649AA" w:rsidRPr="007F2000" w14:paraId="0BECCDC2" w14:textId="77777777">
        <w:tc>
          <w:tcPr>
            <w:tcW w:w="3539" w:type="dxa"/>
          </w:tcPr>
          <w:p w14:paraId="3E0246CE" w14:textId="77777777" w:rsidR="002649AA" w:rsidRPr="007F2000" w:rsidRDefault="002649AA" w:rsidP="002649AA">
            <w:pPr>
              <w:rPr>
                <w:b/>
              </w:rPr>
            </w:pPr>
            <w:r w:rsidRPr="007F2000">
              <w:rPr>
                <w:b/>
              </w:rPr>
              <w:t>Nombre de la entidad pública:</w:t>
            </w:r>
          </w:p>
        </w:tc>
        <w:tc>
          <w:tcPr>
            <w:tcW w:w="4955" w:type="dxa"/>
          </w:tcPr>
          <w:p w14:paraId="7863136A" w14:textId="3239B0D4" w:rsidR="002649AA" w:rsidRPr="007F2000" w:rsidRDefault="002649AA" w:rsidP="002649AA">
            <w:r>
              <w:rPr>
                <w:rFonts w:ascii="Arial" w:hAnsi="Arial" w:cs="Arial"/>
                <w:color w:val="000000"/>
                <w:sz w:val="18"/>
                <w:szCs w:val="18"/>
              </w:rPr>
              <w:t>Ministerio de Educación</w:t>
            </w:r>
          </w:p>
        </w:tc>
      </w:tr>
      <w:tr w:rsidR="002649AA" w:rsidRPr="007F2000" w14:paraId="78C4B0FE" w14:textId="77777777">
        <w:tc>
          <w:tcPr>
            <w:tcW w:w="3539" w:type="dxa"/>
          </w:tcPr>
          <w:p w14:paraId="169E55E2" w14:textId="77777777" w:rsidR="002649AA" w:rsidRPr="007F2000" w:rsidRDefault="002649AA" w:rsidP="002649AA">
            <w:pPr>
              <w:rPr>
                <w:b/>
              </w:rPr>
            </w:pPr>
            <w:r w:rsidRPr="007F2000">
              <w:rPr>
                <w:b/>
              </w:rPr>
              <w:t>Órgano técnico normativo competente:</w:t>
            </w:r>
          </w:p>
        </w:tc>
        <w:tc>
          <w:tcPr>
            <w:tcW w:w="4955" w:type="dxa"/>
          </w:tcPr>
          <w:p w14:paraId="535180BD" w14:textId="6A419599" w:rsidR="002649AA" w:rsidRPr="007F2000" w:rsidRDefault="002649AA" w:rsidP="002649AA">
            <w:r>
              <w:rPr>
                <w:rFonts w:ascii="Arial" w:hAnsi="Arial" w:cs="Arial"/>
                <w:color w:val="000000"/>
                <w:sz w:val="18"/>
                <w:szCs w:val="18"/>
              </w:rPr>
              <w:t>Dirección de Normatividad de Infraestructura - DINOR</w:t>
            </w:r>
          </w:p>
        </w:tc>
      </w:tr>
      <w:tr w:rsidR="002649AA" w:rsidRPr="007F2000" w14:paraId="683EEEB7" w14:textId="77777777">
        <w:tc>
          <w:tcPr>
            <w:tcW w:w="3539" w:type="dxa"/>
          </w:tcPr>
          <w:p w14:paraId="5AA4889A" w14:textId="4FC96860" w:rsidR="002649AA" w:rsidRPr="007F2000" w:rsidRDefault="002649AA" w:rsidP="002649AA">
            <w:pPr>
              <w:rPr>
                <w:b/>
              </w:rPr>
            </w:pPr>
            <w:r w:rsidRPr="007F2000">
              <w:rPr>
                <w:b/>
              </w:rPr>
              <w:t xml:space="preserve">Unidad Orgánica </w:t>
            </w:r>
            <w:proofErr w:type="gramStart"/>
            <w:r w:rsidRPr="007F2000">
              <w:rPr>
                <w:b/>
              </w:rPr>
              <w:t>Responsable</w:t>
            </w:r>
            <w:proofErr w:type="gramEnd"/>
            <w:r w:rsidRPr="007F2000">
              <w:rPr>
                <w:b/>
              </w:rPr>
              <w:t>:</w:t>
            </w:r>
          </w:p>
        </w:tc>
        <w:tc>
          <w:tcPr>
            <w:tcW w:w="4955" w:type="dxa"/>
          </w:tcPr>
          <w:p w14:paraId="75195781" w14:textId="7114ED97" w:rsidR="002649AA" w:rsidRPr="007F2000" w:rsidRDefault="002649AA" w:rsidP="002649AA">
            <w:r>
              <w:rPr>
                <w:rFonts w:ascii="Arial" w:hAnsi="Arial" w:cs="Arial"/>
                <w:color w:val="000000"/>
                <w:sz w:val="18"/>
                <w:szCs w:val="18"/>
              </w:rPr>
              <w:t>Dirección de Educación Primaria</w:t>
            </w:r>
          </w:p>
        </w:tc>
      </w:tr>
      <w:tr w:rsidR="002649AA" w:rsidRPr="007F2000" w14:paraId="4C312602" w14:textId="77777777" w:rsidTr="00247565">
        <w:tc>
          <w:tcPr>
            <w:tcW w:w="3539" w:type="dxa"/>
          </w:tcPr>
          <w:p w14:paraId="2CC6F46A" w14:textId="77777777" w:rsidR="002649AA" w:rsidRPr="007F2000" w:rsidRDefault="002649AA" w:rsidP="002649AA">
            <w:pPr>
              <w:rPr>
                <w:b/>
              </w:rPr>
            </w:pPr>
            <w:r w:rsidRPr="007F2000">
              <w:rPr>
                <w:b/>
              </w:rPr>
              <w:t>Sector:</w:t>
            </w:r>
          </w:p>
        </w:tc>
        <w:tc>
          <w:tcPr>
            <w:tcW w:w="4955" w:type="dxa"/>
            <w:vAlign w:val="center"/>
          </w:tcPr>
          <w:p w14:paraId="679B4EF6" w14:textId="78C8E09D" w:rsidR="002649AA" w:rsidRPr="007F2000" w:rsidRDefault="002649AA" w:rsidP="002649AA">
            <w:r>
              <w:rPr>
                <w:rFonts w:ascii="Arial" w:hAnsi="Arial" w:cs="Arial"/>
                <w:color w:val="000000"/>
                <w:sz w:val="18"/>
                <w:szCs w:val="18"/>
              </w:rPr>
              <w:t>Educación</w:t>
            </w:r>
          </w:p>
        </w:tc>
      </w:tr>
      <w:tr w:rsidR="002649AA" w:rsidRPr="007F2000" w14:paraId="47CE98C0" w14:textId="77777777" w:rsidTr="00247565">
        <w:tc>
          <w:tcPr>
            <w:tcW w:w="3539" w:type="dxa"/>
          </w:tcPr>
          <w:p w14:paraId="148BF11F" w14:textId="77777777" w:rsidR="002649AA" w:rsidRPr="007F2000" w:rsidRDefault="002649AA" w:rsidP="002649AA">
            <w:pPr>
              <w:rPr>
                <w:b/>
              </w:rPr>
            </w:pPr>
            <w:r w:rsidRPr="007F2000">
              <w:rPr>
                <w:b/>
              </w:rPr>
              <w:t>Función:</w:t>
            </w:r>
          </w:p>
        </w:tc>
        <w:tc>
          <w:tcPr>
            <w:tcW w:w="4955" w:type="dxa"/>
            <w:vAlign w:val="center"/>
          </w:tcPr>
          <w:p w14:paraId="57ADF64C" w14:textId="4D5DE2BE" w:rsidR="002649AA" w:rsidRPr="007F2000" w:rsidRDefault="002649AA" w:rsidP="002649AA">
            <w:r>
              <w:rPr>
                <w:rFonts w:ascii="Arial" w:hAnsi="Arial" w:cs="Arial"/>
                <w:color w:val="000000"/>
                <w:sz w:val="18"/>
                <w:szCs w:val="18"/>
              </w:rPr>
              <w:t xml:space="preserve">22 </w:t>
            </w:r>
            <w:proofErr w:type="gramStart"/>
            <w:r>
              <w:rPr>
                <w:rFonts w:ascii="Arial" w:hAnsi="Arial" w:cs="Arial"/>
                <w:color w:val="000000"/>
                <w:sz w:val="18"/>
                <w:szCs w:val="18"/>
              </w:rPr>
              <w:t>Educación</w:t>
            </w:r>
            <w:proofErr w:type="gramEnd"/>
          </w:p>
        </w:tc>
      </w:tr>
      <w:tr w:rsidR="002649AA" w:rsidRPr="007F2000" w14:paraId="33B5D58C" w14:textId="77777777" w:rsidTr="00247565">
        <w:tc>
          <w:tcPr>
            <w:tcW w:w="3539" w:type="dxa"/>
          </w:tcPr>
          <w:p w14:paraId="5BC6E11B" w14:textId="77777777" w:rsidR="002649AA" w:rsidRPr="007F2000" w:rsidRDefault="002649AA" w:rsidP="002649AA">
            <w:pPr>
              <w:rPr>
                <w:b/>
              </w:rPr>
            </w:pPr>
            <w:r w:rsidRPr="007F2000">
              <w:rPr>
                <w:b/>
              </w:rPr>
              <w:t>División funcional:</w:t>
            </w:r>
          </w:p>
        </w:tc>
        <w:tc>
          <w:tcPr>
            <w:tcW w:w="4955" w:type="dxa"/>
            <w:vAlign w:val="center"/>
          </w:tcPr>
          <w:p w14:paraId="77B69D1A" w14:textId="25D068AB" w:rsidR="002649AA" w:rsidRPr="007F2000" w:rsidRDefault="002649AA" w:rsidP="002649AA">
            <w:r>
              <w:rPr>
                <w:rFonts w:ascii="Arial" w:hAnsi="Arial" w:cs="Arial"/>
                <w:color w:val="000000"/>
                <w:sz w:val="18"/>
                <w:szCs w:val="18"/>
              </w:rPr>
              <w:t xml:space="preserve">047 </w:t>
            </w:r>
            <w:proofErr w:type="gramStart"/>
            <w:r>
              <w:rPr>
                <w:rFonts w:ascii="Arial" w:hAnsi="Arial" w:cs="Arial"/>
                <w:color w:val="000000"/>
                <w:sz w:val="18"/>
                <w:szCs w:val="18"/>
              </w:rPr>
              <w:t>Educación</w:t>
            </w:r>
            <w:proofErr w:type="gramEnd"/>
            <w:r>
              <w:rPr>
                <w:rFonts w:ascii="Arial" w:hAnsi="Arial" w:cs="Arial"/>
                <w:color w:val="000000"/>
                <w:sz w:val="18"/>
                <w:szCs w:val="18"/>
              </w:rPr>
              <w:t xml:space="preserve"> Básica</w:t>
            </w:r>
          </w:p>
        </w:tc>
      </w:tr>
      <w:tr w:rsidR="002649AA" w:rsidRPr="007F2000" w14:paraId="2521A0EB" w14:textId="77777777" w:rsidTr="00247565">
        <w:tc>
          <w:tcPr>
            <w:tcW w:w="3539" w:type="dxa"/>
          </w:tcPr>
          <w:p w14:paraId="61CE334D" w14:textId="77777777" w:rsidR="002649AA" w:rsidRPr="007F2000" w:rsidRDefault="002649AA" w:rsidP="002649AA">
            <w:pPr>
              <w:rPr>
                <w:b/>
              </w:rPr>
            </w:pPr>
            <w:r w:rsidRPr="007F2000">
              <w:rPr>
                <w:b/>
              </w:rPr>
              <w:t xml:space="preserve">Grupo funcional: </w:t>
            </w:r>
          </w:p>
        </w:tc>
        <w:tc>
          <w:tcPr>
            <w:tcW w:w="4955" w:type="dxa"/>
            <w:vAlign w:val="center"/>
          </w:tcPr>
          <w:p w14:paraId="3E92E9D7" w14:textId="474C3333" w:rsidR="002649AA" w:rsidRPr="007F2000" w:rsidRDefault="002649AA" w:rsidP="002649AA">
            <w:r>
              <w:rPr>
                <w:rFonts w:ascii="Arial" w:hAnsi="Arial" w:cs="Arial"/>
                <w:color w:val="000000"/>
                <w:sz w:val="18"/>
                <w:szCs w:val="18"/>
              </w:rPr>
              <w:t xml:space="preserve">0104 </w:t>
            </w:r>
            <w:proofErr w:type="gramStart"/>
            <w:r>
              <w:rPr>
                <w:rFonts w:ascii="Arial" w:hAnsi="Arial" w:cs="Arial"/>
                <w:color w:val="000000"/>
                <w:sz w:val="18"/>
                <w:szCs w:val="18"/>
              </w:rPr>
              <w:t>Educación</w:t>
            </w:r>
            <w:proofErr w:type="gramEnd"/>
            <w:r>
              <w:rPr>
                <w:rFonts w:ascii="Arial" w:hAnsi="Arial" w:cs="Arial"/>
                <w:color w:val="000000"/>
                <w:sz w:val="18"/>
                <w:szCs w:val="18"/>
              </w:rPr>
              <w:t xml:space="preserve"> Primaria</w:t>
            </w:r>
          </w:p>
        </w:tc>
      </w:tr>
      <w:tr w:rsidR="002649AA" w:rsidRPr="007F2000" w14:paraId="3E94C2B7" w14:textId="77777777" w:rsidTr="00247565">
        <w:tc>
          <w:tcPr>
            <w:tcW w:w="3539" w:type="dxa"/>
          </w:tcPr>
          <w:p w14:paraId="1627199C" w14:textId="77777777" w:rsidR="002649AA" w:rsidRPr="007F2000" w:rsidRDefault="002649AA" w:rsidP="002649AA">
            <w:pPr>
              <w:rPr>
                <w:b/>
              </w:rPr>
            </w:pPr>
            <w:r w:rsidRPr="007F2000">
              <w:rPr>
                <w:b/>
              </w:rPr>
              <w:t>Servicio asociado:</w:t>
            </w:r>
          </w:p>
        </w:tc>
        <w:tc>
          <w:tcPr>
            <w:tcW w:w="4955" w:type="dxa"/>
            <w:vAlign w:val="center"/>
          </w:tcPr>
          <w:p w14:paraId="750E3F06" w14:textId="51550584" w:rsidR="002649AA" w:rsidRPr="007F2000" w:rsidRDefault="002649AA" w:rsidP="002649AA">
            <w:r>
              <w:rPr>
                <w:rFonts w:ascii="Arial" w:hAnsi="Arial" w:cs="Arial"/>
                <w:color w:val="000000"/>
                <w:sz w:val="18"/>
                <w:szCs w:val="18"/>
              </w:rPr>
              <w:t>Servicio de Educación Primaria</w:t>
            </w:r>
          </w:p>
        </w:tc>
      </w:tr>
      <w:tr w:rsidR="002649AA" w:rsidRPr="007F2000" w14:paraId="1734AC67" w14:textId="77777777" w:rsidTr="00247565">
        <w:tc>
          <w:tcPr>
            <w:tcW w:w="3539" w:type="dxa"/>
          </w:tcPr>
          <w:p w14:paraId="6BFEB1EE" w14:textId="77777777" w:rsidR="002649AA" w:rsidRPr="007F2000" w:rsidRDefault="002649AA" w:rsidP="002649AA">
            <w:pPr>
              <w:rPr>
                <w:b/>
              </w:rPr>
            </w:pPr>
            <w:r w:rsidRPr="007F2000">
              <w:rPr>
                <w:b/>
              </w:rPr>
              <w:t>Tipología de proyecto de inversión:</w:t>
            </w:r>
          </w:p>
        </w:tc>
        <w:tc>
          <w:tcPr>
            <w:tcW w:w="4955" w:type="dxa"/>
            <w:vAlign w:val="center"/>
          </w:tcPr>
          <w:p w14:paraId="24FCF44B" w14:textId="45C17890" w:rsidR="002649AA" w:rsidRPr="007F2000" w:rsidRDefault="002649AA" w:rsidP="002649AA">
            <w:pPr>
              <w:tabs>
                <w:tab w:val="left" w:pos="3110"/>
              </w:tabs>
            </w:pPr>
            <w:r>
              <w:rPr>
                <w:rFonts w:ascii="Arial" w:hAnsi="Arial" w:cs="Arial"/>
                <w:color w:val="000000"/>
                <w:sz w:val="18"/>
                <w:szCs w:val="18"/>
              </w:rPr>
              <w:t>Educación Primaria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101BB99B">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8C23EC" w14:paraId="5E448942" w14:textId="77777777" w:rsidTr="101BB99B">
        <w:trPr>
          <w:trHeight w:val="841"/>
        </w:trPr>
        <w:tc>
          <w:tcPr>
            <w:tcW w:w="8529" w:type="dxa"/>
            <w:tcBorders>
              <w:left w:val="single" w:sz="4" w:space="0" w:color="auto"/>
            </w:tcBorders>
          </w:tcPr>
          <w:p w14:paraId="066E8B4B" w14:textId="77777777" w:rsidR="007F2000" w:rsidRDefault="007F2000" w:rsidP="00062B08">
            <w:pPr>
              <w:jc w:val="both"/>
              <w:rPr>
                <w:b/>
              </w:rPr>
            </w:pPr>
          </w:p>
          <w:p w14:paraId="1FFEEB49" w14:textId="53C9F951" w:rsidR="00002FFB" w:rsidRPr="007F2000" w:rsidRDefault="00F95B43" w:rsidP="00062B08">
            <w:pPr>
              <w:jc w:val="both"/>
            </w:pPr>
            <w:r w:rsidRPr="007F2000">
              <w:rPr>
                <w:b/>
              </w:rPr>
              <w:t>Descripción</w:t>
            </w:r>
            <w:r w:rsidRPr="007F2000">
              <w:t>:</w:t>
            </w:r>
          </w:p>
          <w:p w14:paraId="11950CE4" w14:textId="77777777" w:rsidR="00002FFB" w:rsidRPr="002649AA" w:rsidRDefault="00002FFB" w:rsidP="00062B08">
            <w:pPr>
              <w:jc w:val="both"/>
            </w:pPr>
          </w:p>
          <w:p w14:paraId="6AFD1281" w14:textId="77777777" w:rsidR="002649AA" w:rsidRPr="00062B08" w:rsidRDefault="002649AA" w:rsidP="00062B08">
            <w:pPr>
              <w:jc w:val="both"/>
              <w:rPr>
                <w:b/>
                <w:bCs/>
              </w:rPr>
            </w:pPr>
            <w:r w:rsidRPr="00062B08">
              <w:rPr>
                <w:b/>
                <w:bCs/>
              </w:rPr>
              <w:t>Servicio de Educación Primaria</w:t>
            </w:r>
          </w:p>
          <w:p w14:paraId="09BBD64D" w14:textId="77777777" w:rsidR="002649AA" w:rsidRPr="002649AA" w:rsidRDefault="002649AA" w:rsidP="00062B08">
            <w:pPr>
              <w:jc w:val="both"/>
            </w:pPr>
          </w:p>
          <w:p w14:paraId="06191022" w14:textId="5F07A501" w:rsidR="002649AA" w:rsidRDefault="2BB5E058" w:rsidP="00062B08">
            <w:pPr>
              <w:jc w:val="both"/>
            </w:pPr>
            <w:r w:rsidRPr="2BB5E058">
              <w:rPr>
                <w:i/>
                <w:iCs/>
              </w:rPr>
              <w:t>“La Educación Primaria constituye el segundo nivel de la Educación Básica Regular y dura seis años. Tiene como finalidad educar integralmente a niños. Promueve la comunicación en todas las áreas, el manejo operacional del conocimiento, el desarrollo personal, espiritual, físico, afectivo, social, vocacional y artístico, el pensamiento lógico, la creatividad, la adquisición de las habilidades necesarias para el despliegue de sus potencialidades, así como la comprensión de los hechos cercanos a su ambiente natural y social.”</w:t>
            </w:r>
            <w:r>
              <w:t xml:space="preserve"> (Norma 1).</w:t>
            </w:r>
          </w:p>
          <w:p w14:paraId="7C391E3D" w14:textId="77777777" w:rsidR="00062B08" w:rsidRDefault="00062B08" w:rsidP="00062B08">
            <w:pPr>
              <w:pStyle w:val="NormalWeb"/>
              <w:spacing w:before="0" w:beforeAutospacing="0" w:after="0" w:afterAutospacing="0"/>
              <w:jc w:val="both"/>
              <w:rPr>
                <w:rFonts w:asciiTheme="minorHAnsi" w:eastAsiaTheme="minorHAnsi" w:hAnsiTheme="minorHAnsi" w:cstheme="minorBidi"/>
                <w:sz w:val="22"/>
                <w:szCs w:val="22"/>
                <w:lang w:eastAsia="en-US"/>
              </w:rPr>
            </w:pPr>
          </w:p>
          <w:p w14:paraId="7F5204DE" w14:textId="607F9B6A" w:rsidR="002E7BE1" w:rsidRPr="00644725" w:rsidRDefault="005D5CAF" w:rsidP="00062B08">
            <w:pPr>
              <w:pStyle w:val="Normal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2E7BE1" w:rsidRPr="00291829">
              <w:rPr>
                <w:rFonts w:asciiTheme="minorHAnsi" w:eastAsiaTheme="minorHAnsi" w:hAnsiTheme="minorHAnsi" w:cstheme="minorBidi"/>
                <w:i/>
                <w:iCs/>
                <w:sz w:val="22"/>
                <w:szCs w:val="22"/>
                <w:lang w:eastAsia="en-US"/>
              </w:rPr>
              <w:t>La Educación Primaria es el segundo nivel de la Educación Básica Regular. Atiende a niños y niñas a partir de los 6 años de edad</w:t>
            </w:r>
            <w:r>
              <w:rPr>
                <w:rFonts w:asciiTheme="minorHAnsi" w:eastAsiaTheme="minorHAnsi" w:hAnsiTheme="minorHAnsi" w:cstheme="minorBidi"/>
                <w:sz w:val="22"/>
                <w:szCs w:val="22"/>
                <w:lang w:eastAsia="en-US"/>
              </w:rPr>
              <w:t>”</w:t>
            </w:r>
            <w:r w:rsidR="002E7BE1" w:rsidRPr="00644725">
              <w:rPr>
                <w:rFonts w:asciiTheme="minorHAnsi" w:eastAsiaTheme="minorHAnsi" w:hAnsiTheme="minorHAnsi" w:cstheme="minorBidi"/>
                <w:sz w:val="22"/>
                <w:szCs w:val="22"/>
                <w:lang w:eastAsia="en-US"/>
              </w:rPr>
              <w:t>. (Norma 2)</w:t>
            </w:r>
            <w:r w:rsidR="002E7BE1">
              <w:rPr>
                <w:rFonts w:asciiTheme="minorHAnsi" w:eastAsiaTheme="minorHAnsi" w:hAnsiTheme="minorHAnsi" w:cstheme="minorBidi"/>
                <w:sz w:val="22"/>
                <w:szCs w:val="22"/>
                <w:lang w:eastAsia="en-US"/>
              </w:rPr>
              <w:t>.</w:t>
            </w:r>
          </w:p>
          <w:p w14:paraId="0A8C98C2" w14:textId="77777777" w:rsidR="002649AA" w:rsidRPr="002649AA" w:rsidRDefault="002649AA" w:rsidP="00062B08">
            <w:pPr>
              <w:jc w:val="both"/>
            </w:pPr>
          </w:p>
          <w:p w14:paraId="51AB472C" w14:textId="1B693640" w:rsidR="00002FFB" w:rsidRPr="007F2000" w:rsidRDefault="00F95B43" w:rsidP="00062B08">
            <w:pPr>
              <w:jc w:val="both"/>
              <w:rPr>
                <w:b/>
              </w:rPr>
            </w:pPr>
            <w:r w:rsidRPr="007F2000">
              <w:rPr>
                <w:b/>
              </w:rPr>
              <w:t>Norma Legal:</w:t>
            </w:r>
          </w:p>
          <w:p w14:paraId="32D64C1C" w14:textId="4E9E47B8" w:rsidR="00002FFB" w:rsidRDefault="00002FFB" w:rsidP="00062B08">
            <w:pPr>
              <w:jc w:val="both"/>
            </w:pPr>
          </w:p>
          <w:p w14:paraId="751C1925" w14:textId="567E4E3B" w:rsidR="002649AA" w:rsidRDefault="73F7757A" w:rsidP="00062B08">
            <w:pPr>
              <w:jc w:val="both"/>
            </w:pPr>
            <w:r>
              <w:t xml:space="preserve">(Norma 1) Literal b) del Artículo 36 de la Ley </w:t>
            </w:r>
            <w:proofErr w:type="spellStart"/>
            <w:r>
              <w:t>N°</w:t>
            </w:r>
            <w:proofErr w:type="spellEnd"/>
            <w:r>
              <w:t xml:space="preserve"> 28044, Ley General de Educación y sus modificatorias.</w:t>
            </w:r>
          </w:p>
          <w:p w14:paraId="51FD885E" w14:textId="580D0DD2" w:rsidR="002649AA" w:rsidRDefault="002649AA" w:rsidP="00062B08">
            <w:pPr>
              <w:jc w:val="both"/>
              <w:rPr>
                <w:color w:val="0070C0"/>
                <w:lang w:val="en-AU"/>
              </w:rPr>
            </w:pPr>
            <w:r w:rsidRPr="0046466E">
              <w:rPr>
                <w:lang w:val="en-AU"/>
              </w:rPr>
              <w:t xml:space="preserve">Link: </w:t>
            </w:r>
            <w:r w:rsidR="00DF0162">
              <w:rPr>
                <w:rStyle w:val="Hipervnculo"/>
                <w:lang w:val="en-AU"/>
              </w:rPr>
              <w:t xml:space="preserve"> </w:t>
            </w:r>
            <w:r w:rsidR="00DF0162" w:rsidRPr="00DF0162">
              <w:rPr>
                <w:rStyle w:val="Hipervnculo"/>
                <w:lang w:val="en-AU"/>
              </w:rPr>
              <w:t>https://spij.minjus.gob.pe/spij-ext-web/#/detallenorma/H848903</w:t>
            </w:r>
          </w:p>
          <w:p w14:paraId="4C3AA2B0" w14:textId="77777777" w:rsidR="002E7BE1" w:rsidRDefault="002E7BE1" w:rsidP="00062B08">
            <w:pPr>
              <w:jc w:val="both"/>
              <w:rPr>
                <w:color w:val="0070C0"/>
                <w:lang w:val="en-AU"/>
              </w:rPr>
            </w:pPr>
          </w:p>
          <w:p w14:paraId="03E7555B" w14:textId="7C4FE688" w:rsidR="002E7BE1" w:rsidRPr="00F03076" w:rsidRDefault="73F7757A" w:rsidP="00062B08">
            <w:pPr>
              <w:jc w:val="both"/>
            </w:pPr>
            <w:r>
              <w:t xml:space="preserve">(Norma 2) Artículo 61 del Reglamento de la Ley </w:t>
            </w:r>
            <w:proofErr w:type="spellStart"/>
            <w:r>
              <w:t>Nº</w:t>
            </w:r>
            <w:proofErr w:type="spellEnd"/>
            <w:r>
              <w:t xml:space="preserve"> 28044, Ley General de Educación, aprobado por Decreto Supremo </w:t>
            </w:r>
            <w:proofErr w:type="spellStart"/>
            <w:r>
              <w:t>Nº</w:t>
            </w:r>
            <w:proofErr w:type="spellEnd"/>
            <w:r>
              <w:t xml:space="preserve"> 011-2012-ED y sus modificatorias.</w:t>
            </w:r>
          </w:p>
          <w:p w14:paraId="67C07B3C" w14:textId="0715B851" w:rsidR="00492D32" w:rsidRPr="007F2000" w:rsidRDefault="002E7BE1" w:rsidP="00DF0162">
            <w:pPr>
              <w:jc w:val="both"/>
              <w:rPr>
                <w:lang w:val="en-US"/>
              </w:rPr>
            </w:pPr>
            <w:r w:rsidRPr="00F03076">
              <w:rPr>
                <w:lang w:val="en-US"/>
              </w:rPr>
              <w:t xml:space="preserve">Link: </w:t>
            </w:r>
            <w:r w:rsidR="00DF0162" w:rsidRPr="00DF0162">
              <w:rPr>
                <w:rStyle w:val="Hipervnculo"/>
                <w:lang w:val="en-US"/>
              </w:rPr>
              <w:t>https://spij.minjus.gob.pe/spij-ext-web/#/detallenorma/H1058950</w:t>
            </w:r>
          </w:p>
        </w:tc>
      </w:tr>
      <w:tr w:rsidR="00057AB6" w:rsidRPr="007F2000" w14:paraId="509F030F" w14:textId="77777777" w:rsidTr="101BB99B">
        <w:trPr>
          <w:trHeight w:val="260"/>
        </w:trPr>
        <w:tc>
          <w:tcPr>
            <w:tcW w:w="8529" w:type="dxa"/>
            <w:tcBorders>
              <w:left w:val="single" w:sz="4" w:space="0" w:color="auto"/>
            </w:tcBorders>
            <w:shd w:val="clear" w:color="auto" w:fill="000000" w:themeFill="text1"/>
          </w:tcPr>
          <w:p w14:paraId="203FF4CC" w14:textId="6DAB0986" w:rsidR="00002FFB" w:rsidRPr="007F2000" w:rsidRDefault="00190BF5" w:rsidP="00062B08">
            <w:pPr>
              <w:jc w:val="both"/>
            </w:pPr>
            <w:r w:rsidRPr="007F2000">
              <w:rPr>
                <w:b/>
              </w:rPr>
              <w:t>Nivel</w:t>
            </w:r>
            <w:r w:rsidR="00F95B43" w:rsidRPr="007F2000">
              <w:rPr>
                <w:b/>
              </w:rPr>
              <w:t xml:space="preserve"> de Servicio</w:t>
            </w:r>
          </w:p>
        </w:tc>
      </w:tr>
      <w:tr w:rsidR="00057AB6" w:rsidRPr="008C23EC" w14:paraId="5AFB2F64" w14:textId="77777777" w:rsidTr="101BB99B">
        <w:trPr>
          <w:trHeight w:val="260"/>
        </w:trPr>
        <w:tc>
          <w:tcPr>
            <w:tcW w:w="8529" w:type="dxa"/>
            <w:tcBorders>
              <w:left w:val="single" w:sz="4" w:space="0" w:color="auto"/>
            </w:tcBorders>
          </w:tcPr>
          <w:p w14:paraId="01BB1C53" w14:textId="34DDDC6C" w:rsidR="00EA5E5C" w:rsidRDefault="00EA5E5C" w:rsidP="00062B08">
            <w:pPr>
              <w:jc w:val="both"/>
              <w:rPr>
                <w:b/>
              </w:rPr>
            </w:pPr>
          </w:p>
          <w:p w14:paraId="1F7C547A" w14:textId="1607C53F" w:rsidR="00002FFB" w:rsidRDefault="00F95B43" w:rsidP="00062B08">
            <w:pPr>
              <w:jc w:val="both"/>
            </w:pPr>
            <w:r w:rsidRPr="007F2000">
              <w:rPr>
                <w:b/>
              </w:rPr>
              <w:t>Descripción</w:t>
            </w:r>
            <w:r w:rsidRPr="007F2000">
              <w:t>:</w:t>
            </w:r>
          </w:p>
          <w:p w14:paraId="41168ACA" w14:textId="77777777" w:rsidR="002A404E" w:rsidRPr="002A404E" w:rsidRDefault="002A404E" w:rsidP="00062B08">
            <w:pPr>
              <w:jc w:val="both"/>
            </w:pPr>
          </w:p>
          <w:p w14:paraId="16D3C387" w14:textId="77777777" w:rsidR="002A404E" w:rsidRPr="00644725" w:rsidRDefault="002A404E" w:rsidP="00062B08">
            <w:pPr>
              <w:pStyle w:val="NormalWeb"/>
              <w:spacing w:before="0" w:beforeAutospacing="0" w:after="0" w:afterAutospacing="0"/>
              <w:jc w:val="both"/>
              <w:rPr>
                <w:rFonts w:asciiTheme="minorHAnsi" w:eastAsiaTheme="minorHAnsi" w:hAnsiTheme="minorHAnsi" w:cstheme="minorBidi"/>
                <w:sz w:val="22"/>
                <w:szCs w:val="22"/>
                <w:lang w:eastAsia="en-US"/>
              </w:rPr>
            </w:pPr>
          </w:p>
          <w:p w14:paraId="03FE9F56" w14:textId="5632A3FB" w:rsidR="00F03076" w:rsidRPr="001F0B5C" w:rsidRDefault="69791A20" w:rsidP="00062B08">
            <w:pPr>
              <w:jc w:val="both"/>
            </w:pPr>
            <w:r>
              <w:t>Asimismo, en el marco del Sistema Nacional de Programación Multianual y Gestión de Inversiones</w:t>
            </w:r>
            <w:r w:rsidR="4F2BAFBD">
              <w:t xml:space="preserve"> (SNPMGI)</w:t>
            </w:r>
            <w:r>
              <w:t>, se detallan los siguientes niveles de servicio</w:t>
            </w:r>
            <w:r w:rsidR="006A7E99" w:rsidRPr="7646C508">
              <w:rPr>
                <w:rStyle w:val="Refdenotaalpie"/>
              </w:rPr>
              <w:footnoteReference w:id="1"/>
            </w:r>
            <w:r>
              <w:t>:</w:t>
            </w:r>
          </w:p>
          <w:p w14:paraId="5A334B08" w14:textId="77777777" w:rsidR="00F03076" w:rsidRDefault="00F03076" w:rsidP="00062B08">
            <w:pPr>
              <w:jc w:val="both"/>
            </w:pPr>
          </w:p>
          <w:p w14:paraId="7CD252DC" w14:textId="77777777" w:rsidR="00F03076" w:rsidRPr="00F03076" w:rsidRDefault="00F03076" w:rsidP="00062B08">
            <w:pPr>
              <w:jc w:val="both"/>
              <w:rPr>
                <w:b/>
              </w:rPr>
            </w:pPr>
            <w:r w:rsidRPr="00F03076">
              <w:rPr>
                <w:b/>
              </w:rPr>
              <w:t>i. Nivel de servicio de primaria regular</w:t>
            </w:r>
          </w:p>
          <w:p w14:paraId="2BC1C3C6" w14:textId="77777777" w:rsidR="00F03076" w:rsidRDefault="00F03076" w:rsidP="00062B08">
            <w:pPr>
              <w:jc w:val="both"/>
            </w:pPr>
          </w:p>
          <w:p w14:paraId="43805487" w14:textId="4479B91C" w:rsidR="00F03076" w:rsidRDefault="2BB5E058" w:rsidP="00062B08">
            <w:pPr>
              <w:jc w:val="both"/>
            </w:pPr>
            <w:r w:rsidRPr="2BB5E058">
              <w:rPr>
                <w:i/>
                <w:iCs/>
              </w:rPr>
              <w:t>“Tiene como finalidad educar integralmente a niños. Promueve la comunicación en todas las áreas, el manejo operacional del conocimiento, el desarrollo personal, espiritual, físico, afectivo, social, vocacional y artístico, el pensamiento lógico, la creatividad, la adquisición de las habilidades necesarias para el despliegue de sus potencialidades, así como la comprensión de los hechos cercanos a su ambiente natural y social.”</w:t>
            </w:r>
            <w:r>
              <w:t xml:space="preserve"> (Norma 3)</w:t>
            </w:r>
          </w:p>
          <w:p w14:paraId="6D1F2F2D" w14:textId="77777777" w:rsidR="00183021" w:rsidRDefault="00183021" w:rsidP="00062B08">
            <w:pPr>
              <w:jc w:val="both"/>
              <w:rPr>
                <w:rFonts w:ascii="Arial" w:eastAsia="Arial" w:hAnsi="Arial" w:cs="Arial"/>
                <w:sz w:val="20"/>
                <w:szCs w:val="20"/>
              </w:rPr>
            </w:pPr>
          </w:p>
          <w:p w14:paraId="7B76C3F0" w14:textId="77777777" w:rsidR="00F03076" w:rsidRPr="00F03076" w:rsidRDefault="00F03076" w:rsidP="00062B08">
            <w:pPr>
              <w:jc w:val="both"/>
              <w:rPr>
                <w:b/>
              </w:rPr>
            </w:pPr>
            <w:proofErr w:type="spellStart"/>
            <w:r w:rsidRPr="00F03076">
              <w:rPr>
                <w:b/>
              </w:rPr>
              <w:t>ii</w:t>
            </w:r>
            <w:proofErr w:type="spellEnd"/>
            <w:r w:rsidRPr="00F03076">
              <w:rPr>
                <w:b/>
              </w:rPr>
              <w:t>. Nivel de servicio educativo de primaria intercultural bilingüe</w:t>
            </w:r>
          </w:p>
          <w:p w14:paraId="1647C3AE" w14:textId="77777777" w:rsidR="00F03076" w:rsidRDefault="00F03076" w:rsidP="00062B08">
            <w:pPr>
              <w:jc w:val="both"/>
            </w:pPr>
          </w:p>
          <w:p w14:paraId="2E8B663C" w14:textId="369D2D81" w:rsidR="00A10FCF" w:rsidRDefault="00F03076" w:rsidP="00062B08">
            <w:pPr>
              <w:jc w:val="both"/>
            </w:pPr>
            <w:r>
              <w:t xml:space="preserve">El Modelo de Servicio Educativo Intercultural Bilingüe (MSEIB) </w:t>
            </w:r>
            <w:r w:rsidR="008A79A6" w:rsidRPr="101BB99B">
              <w:rPr>
                <w:i/>
                <w:iCs/>
              </w:rPr>
              <w:t>“</w:t>
            </w:r>
            <w:r w:rsidR="67BD079D" w:rsidRPr="101BB99B">
              <w:rPr>
                <w:i/>
                <w:iCs/>
              </w:rPr>
              <w:t>...</w:t>
            </w:r>
            <w:r w:rsidR="006C7A9E" w:rsidRPr="101BB99B">
              <w:rPr>
                <w:i/>
                <w:iCs/>
              </w:rPr>
              <w:t xml:space="preserve">tiene por finalidad establecer orientaciones </w:t>
            </w:r>
            <w:r w:rsidRPr="101BB99B">
              <w:rPr>
                <w:i/>
                <w:iCs/>
              </w:rPr>
              <w:t xml:space="preserve">para </w:t>
            </w:r>
            <w:r w:rsidR="00A10FCF" w:rsidRPr="101BB99B">
              <w:rPr>
                <w:i/>
                <w:iCs/>
              </w:rPr>
              <w:t>garantizar la calidad, pertinencia pedagógica y los derechos culturales y lingüísticos de los estudiantes de pueblos originarios o indígenas y logren aprendizajes satisfactorios</w:t>
            </w:r>
            <w:r w:rsidR="008A79A6" w:rsidRPr="101BB99B">
              <w:rPr>
                <w:i/>
                <w:iCs/>
              </w:rPr>
              <w:t>”</w:t>
            </w:r>
            <w:r w:rsidR="00A10FCF" w:rsidRPr="101BB99B">
              <w:rPr>
                <w:i/>
                <w:iCs/>
              </w:rPr>
              <w:t>.</w:t>
            </w:r>
            <w:r w:rsidR="008A79A6" w:rsidRPr="101BB99B">
              <w:rPr>
                <w:i/>
                <w:iCs/>
              </w:rPr>
              <w:t xml:space="preserve"> </w:t>
            </w:r>
            <w:r w:rsidR="008A79A6">
              <w:t>(Norma 4)</w:t>
            </w:r>
          </w:p>
          <w:p w14:paraId="2EDC4707" w14:textId="77777777" w:rsidR="00F03076" w:rsidRDefault="00F03076" w:rsidP="00062B08">
            <w:pPr>
              <w:jc w:val="both"/>
            </w:pPr>
          </w:p>
          <w:p w14:paraId="539D968F" w14:textId="0B9220E8" w:rsidR="00F03076" w:rsidRDefault="00F03076" w:rsidP="00062B08">
            <w:pPr>
              <w:jc w:val="both"/>
            </w:pPr>
            <w:r>
              <w:t>El MSEIB se caracteriza principalmente porque comprende tres formas de atención pedagógica: (i) Educación Intercultural Bilingüe (EIB) de Fortalecimiento cultural y lingüístico, (</w:t>
            </w:r>
            <w:proofErr w:type="spellStart"/>
            <w:r>
              <w:t>ii</w:t>
            </w:r>
            <w:proofErr w:type="spellEnd"/>
            <w:r>
              <w:t>) EIB de Revitalización cultural y lingüística, y (</w:t>
            </w:r>
            <w:proofErr w:type="spellStart"/>
            <w:r>
              <w:t>iii</w:t>
            </w:r>
            <w:proofErr w:type="spellEnd"/>
            <w:r>
              <w:t xml:space="preserve">) EIB en ámbitos </w:t>
            </w:r>
            <w:r w:rsidRPr="00410396">
              <w:t>urbanos.</w:t>
            </w:r>
            <w:r w:rsidR="00E00CFD">
              <w:t xml:space="preserve"> </w:t>
            </w:r>
            <w:r w:rsidR="00E00CFD" w:rsidRPr="00410396">
              <w:t>(Norma 4)</w:t>
            </w:r>
          </w:p>
          <w:p w14:paraId="5FA5BC92" w14:textId="77777777" w:rsidR="00F03076" w:rsidRDefault="00F03076" w:rsidP="00062B08">
            <w:pPr>
              <w:jc w:val="both"/>
            </w:pPr>
          </w:p>
          <w:p w14:paraId="744017F5" w14:textId="77777777" w:rsidR="00F03076" w:rsidRPr="00F03076" w:rsidRDefault="00F03076" w:rsidP="00062B08">
            <w:pPr>
              <w:jc w:val="both"/>
              <w:rPr>
                <w:b/>
              </w:rPr>
            </w:pPr>
            <w:proofErr w:type="spellStart"/>
            <w:r w:rsidRPr="00F03076">
              <w:rPr>
                <w:b/>
              </w:rPr>
              <w:t>iii</w:t>
            </w:r>
            <w:proofErr w:type="spellEnd"/>
            <w:r w:rsidRPr="00F03076">
              <w:rPr>
                <w:b/>
              </w:rPr>
              <w:t>. Nivel de servicio educativo de primaria multigrado</w:t>
            </w:r>
          </w:p>
          <w:p w14:paraId="59E419EC" w14:textId="77777777" w:rsidR="00F03076" w:rsidRDefault="00F03076" w:rsidP="00062B08">
            <w:pPr>
              <w:jc w:val="both"/>
            </w:pPr>
          </w:p>
          <w:p w14:paraId="1EC35FC2" w14:textId="77777777" w:rsidR="00F03076" w:rsidRPr="000955B3" w:rsidRDefault="00F03076" w:rsidP="00062B08">
            <w:pPr>
              <w:jc w:val="both"/>
              <w:rPr>
                <w:i/>
              </w:rPr>
            </w:pPr>
            <w:r w:rsidRPr="000955B3">
              <w:rPr>
                <w:i/>
              </w:rPr>
              <w:t>“El servicio educativo multigrado rural es aquel que se ofrece en una institución educativa que cuenta con una o varias aulas multigrado (</w:t>
            </w:r>
            <w:proofErr w:type="spellStart"/>
            <w:r w:rsidRPr="000955B3">
              <w:rPr>
                <w:i/>
              </w:rPr>
              <w:t>polidocente</w:t>
            </w:r>
            <w:proofErr w:type="spellEnd"/>
            <w:r w:rsidRPr="000955B3">
              <w:rPr>
                <w:i/>
              </w:rPr>
              <w:t xml:space="preserve"> incompleta o unidocente) y que está ubicado en zonas rurales. El aula multigrado es la que tiene un docente a cargo de estudiantes de más de un grado y/o ciclo de la educación básica regular, no necesariamente grados continuos. En tal sentido, el aula multigrado es diversa por naturaleza; más de un grado por aula, diferentes edades entre los estudiantes, diversos niveles, estilos y ritmos de aprendizaje, variadas competencias y experiencias de vida familiar y cultural, heterogéneas motivaciones e intereses para aprender, diversidad cultural y lingüística, entre otros. </w:t>
            </w:r>
          </w:p>
          <w:p w14:paraId="483D53F7" w14:textId="77777777" w:rsidR="00F03076" w:rsidRPr="000955B3" w:rsidRDefault="00F03076" w:rsidP="00062B08">
            <w:pPr>
              <w:jc w:val="both"/>
              <w:rPr>
                <w:i/>
              </w:rPr>
            </w:pPr>
          </w:p>
          <w:p w14:paraId="73CB174C" w14:textId="2BAC2FAD" w:rsidR="00F03076" w:rsidRDefault="00F03076" w:rsidP="00062B08">
            <w:pPr>
              <w:jc w:val="both"/>
            </w:pPr>
            <w:r w:rsidRPr="000955B3">
              <w:rPr>
                <w:i/>
              </w:rPr>
              <w:t>La Institución educativa donde se brinda el servicio educativo multigrado rural, atiende principalmente a estudiantes de poblaciones rurales y/o pueblos indígenas con lenguas originarias; pudiendo ser estas, publicas de gestión directa o públicas de gestión privada del nivel de educación primaria de la educación básica regular, monolingüe castellano o intercultural bilingüe, que se encuentran localizadas en los diversos ámbitos rurales.</w:t>
            </w:r>
            <w:r w:rsidR="00512F25" w:rsidRPr="000955B3">
              <w:rPr>
                <w:i/>
              </w:rPr>
              <w:t>”</w:t>
            </w:r>
            <w:r w:rsidR="00512F25">
              <w:t xml:space="preserve"> (Norma 5)</w:t>
            </w:r>
          </w:p>
          <w:p w14:paraId="5149C661" w14:textId="77777777" w:rsidR="00F03076" w:rsidRDefault="00F03076" w:rsidP="00062B08">
            <w:pPr>
              <w:jc w:val="both"/>
            </w:pPr>
          </w:p>
          <w:p w14:paraId="04AD0716" w14:textId="50CD0C83" w:rsidR="003C19E3" w:rsidRDefault="00644725" w:rsidP="00062B08">
            <w:pPr>
              <w:jc w:val="both"/>
            </w:pPr>
            <w:r>
              <w:t>Las</w:t>
            </w:r>
            <w:r w:rsidR="003C19E3">
              <w:t xml:space="preserve"> “aulas multigrado” pueden presentarse en </w:t>
            </w:r>
            <w:r>
              <w:t xml:space="preserve">los siguientes tipos de </w:t>
            </w:r>
            <w:r w:rsidR="003C19E3">
              <w:t>instituciones educativas</w:t>
            </w:r>
            <w:r>
              <w:t>:</w:t>
            </w:r>
          </w:p>
          <w:p w14:paraId="0992B526" w14:textId="77777777" w:rsidR="00F03076" w:rsidRDefault="00F03076" w:rsidP="00062B08">
            <w:pPr>
              <w:jc w:val="both"/>
            </w:pPr>
          </w:p>
          <w:p w14:paraId="5C3C1A24" w14:textId="77777777" w:rsidR="00F03076" w:rsidRDefault="00F03076" w:rsidP="00062B08">
            <w:pPr>
              <w:jc w:val="both"/>
            </w:pPr>
            <w:r>
              <w:t xml:space="preserve">a) </w:t>
            </w:r>
            <w:proofErr w:type="spellStart"/>
            <w:r>
              <w:t>Polidocente</w:t>
            </w:r>
            <w:proofErr w:type="spellEnd"/>
            <w:r>
              <w:t xml:space="preserve"> incompleta o multigrado: cuando uno o más docentes tienen a su cargo dos o más grados de estudios.</w:t>
            </w:r>
          </w:p>
          <w:p w14:paraId="08C3BEC8" w14:textId="77777777" w:rsidR="00F03076" w:rsidRDefault="00F03076" w:rsidP="00062B08">
            <w:pPr>
              <w:jc w:val="both"/>
            </w:pPr>
          </w:p>
          <w:p w14:paraId="587AC11E" w14:textId="65C2F477" w:rsidR="00F03076" w:rsidRDefault="00F03076" w:rsidP="00062B08">
            <w:pPr>
              <w:jc w:val="both"/>
            </w:pPr>
            <w:r>
              <w:t xml:space="preserve">b) Unidocente: cuando la institución educativa cuenta con un solo docente para atender a todos los grados de estudio del nivel, en una única aula, asumiendo a su vez las funciones de </w:t>
            </w:r>
            <w:r w:rsidRPr="00410396">
              <w:t xml:space="preserve">director.” </w:t>
            </w:r>
            <w:r w:rsidR="003C19E3" w:rsidRPr="00410396">
              <w:t>(Norma 5)</w:t>
            </w:r>
          </w:p>
          <w:p w14:paraId="784F7A28" w14:textId="77777777" w:rsidR="00F03076" w:rsidRDefault="00F03076" w:rsidP="00062B08">
            <w:pPr>
              <w:jc w:val="both"/>
            </w:pPr>
          </w:p>
          <w:p w14:paraId="2C70D392" w14:textId="668717EB" w:rsidR="00002FFB" w:rsidRDefault="00F95B43" w:rsidP="00062B08">
            <w:pPr>
              <w:jc w:val="both"/>
              <w:rPr>
                <w:b/>
              </w:rPr>
            </w:pPr>
            <w:r w:rsidRPr="007F2000">
              <w:rPr>
                <w:b/>
              </w:rPr>
              <w:t>Norma</w:t>
            </w:r>
            <w:r w:rsidR="005C5E74">
              <w:rPr>
                <w:b/>
              </w:rPr>
              <w:t>s</w:t>
            </w:r>
            <w:r w:rsidRPr="007F2000">
              <w:rPr>
                <w:b/>
              </w:rPr>
              <w:t xml:space="preserve"> </w:t>
            </w:r>
            <w:r w:rsidR="00B72BD7" w:rsidRPr="007F2000">
              <w:rPr>
                <w:b/>
              </w:rPr>
              <w:t>Legal</w:t>
            </w:r>
            <w:r w:rsidR="005C5E74">
              <w:rPr>
                <w:b/>
              </w:rPr>
              <w:t>es</w:t>
            </w:r>
            <w:r w:rsidRPr="007F2000">
              <w:rPr>
                <w:b/>
              </w:rPr>
              <w:t>:</w:t>
            </w:r>
          </w:p>
          <w:p w14:paraId="4588712D" w14:textId="77777777" w:rsidR="008A79A6" w:rsidRPr="007F2000" w:rsidRDefault="008A79A6" w:rsidP="00062B08">
            <w:pPr>
              <w:jc w:val="both"/>
              <w:rPr>
                <w:b/>
              </w:rPr>
            </w:pPr>
          </w:p>
          <w:p w14:paraId="296F626F" w14:textId="3FA053D1" w:rsidR="006C7A9E" w:rsidRDefault="2BB5E058" w:rsidP="00062B08">
            <w:pPr>
              <w:jc w:val="both"/>
            </w:pPr>
            <w:r>
              <w:t xml:space="preserve">(Norma 3) Literal b) del artículo 36 de la Ley </w:t>
            </w:r>
            <w:proofErr w:type="spellStart"/>
            <w:r>
              <w:t>N°</w:t>
            </w:r>
            <w:proofErr w:type="spellEnd"/>
            <w:r>
              <w:t xml:space="preserve"> 28044, Ley General de Educación y sus modificatorias.</w:t>
            </w:r>
          </w:p>
          <w:p w14:paraId="7421DEFB" w14:textId="1312F929" w:rsidR="00F03076" w:rsidRPr="00F03076" w:rsidRDefault="000E42A7" w:rsidP="00062B08">
            <w:pPr>
              <w:jc w:val="both"/>
            </w:pPr>
            <w:r w:rsidRPr="00291829">
              <w:t xml:space="preserve">Link: </w:t>
            </w:r>
            <w:hyperlink r:id="rId8" w:history="1">
              <w:r w:rsidR="00386699" w:rsidRPr="00291829">
                <w:rPr>
                  <w:rStyle w:val="Hipervnculo"/>
                </w:rPr>
                <w:t>https://spij.minjus.gob.pe/spij-ext-web/#/detallenorma/H848903</w:t>
              </w:r>
            </w:hyperlink>
            <w:r w:rsidR="73F7757A">
              <w:t xml:space="preserve">(Norma 4) Numerales 1 y 6 del “Modelo de Servicio Educativo Educación Intercultural Bilingüe”, creado con Resolución Ministerial </w:t>
            </w:r>
            <w:proofErr w:type="spellStart"/>
            <w:r w:rsidR="73F7757A">
              <w:t>N°</w:t>
            </w:r>
            <w:proofErr w:type="spellEnd"/>
            <w:r w:rsidR="73F7757A">
              <w:t xml:space="preserve"> 519-2018-MINEDU.</w:t>
            </w:r>
          </w:p>
          <w:p w14:paraId="527437C5" w14:textId="1A65DD74" w:rsidR="00F03076" w:rsidRPr="0046466E" w:rsidRDefault="00F03076" w:rsidP="00062B08">
            <w:pPr>
              <w:jc w:val="both"/>
              <w:rPr>
                <w:color w:val="0070C0"/>
                <w:lang w:val="en-US"/>
              </w:rPr>
            </w:pPr>
            <w:r w:rsidRPr="00F03076">
              <w:rPr>
                <w:lang w:val="en-US"/>
              </w:rPr>
              <w:t xml:space="preserve">Link: </w:t>
            </w:r>
            <w:r w:rsidRPr="0046466E">
              <w:rPr>
                <w:color w:val="0070C0"/>
                <w:lang w:val="en-US"/>
              </w:rPr>
              <w:t xml:space="preserve">https://www.gob.pe/institucion/minedu/normas-legales/196935-519-2018-minedu </w:t>
            </w:r>
          </w:p>
          <w:p w14:paraId="4F8C72AE" w14:textId="77777777" w:rsidR="00F03076" w:rsidRPr="00F03076" w:rsidRDefault="00F03076" w:rsidP="00062B08">
            <w:pPr>
              <w:jc w:val="both"/>
              <w:rPr>
                <w:lang w:val="en-US"/>
              </w:rPr>
            </w:pPr>
          </w:p>
          <w:p w14:paraId="767C551A" w14:textId="6F03B30F" w:rsidR="00F03076" w:rsidRPr="00F03076" w:rsidRDefault="73F7757A" w:rsidP="00062B08">
            <w:pPr>
              <w:jc w:val="both"/>
            </w:pPr>
            <w:r>
              <w:t xml:space="preserve">(Norma 5) Numeral 6.1 de los "Lineamientos para el mejoramiento del Servicio Educativo Multigrado Rural", aprobados Resolución de Secretaría General </w:t>
            </w:r>
            <w:proofErr w:type="spellStart"/>
            <w:r>
              <w:t>N°</w:t>
            </w:r>
            <w:proofErr w:type="spellEnd"/>
            <w:r>
              <w:t xml:space="preserve"> 256-2016-MINEDU.</w:t>
            </w:r>
          </w:p>
          <w:p w14:paraId="1AD9C155" w14:textId="7B87B7C3" w:rsidR="00F03076" w:rsidRPr="00F03076" w:rsidRDefault="00F03076" w:rsidP="00062B08">
            <w:pPr>
              <w:jc w:val="both"/>
              <w:rPr>
                <w:lang w:val="en-US"/>
              </w:rPr>
            </w:pPr>
            <w:r w:rsidRPr="00410396">
              <w:rPr>
                <w:lang w:val="en-US"/>
              </w:rPr>
              <w:t>Link:</w:t>
            </w:r>
            <w:r w:rsidRPr="00F03076">
              <w:rPr>
                <w:lang w:val="en-US"/>
              </w:rPr>
              <w:t xml:space="preserve"> </w:t>
            </w:r>
            <w:r w:rsidRPr="00F03076">
              <w:rPr>
                <w:color w:val="0070C0"/>
                <w:lang w:val="en-US"/>
              </w:rPr>
              <w:t>https://www.gob.pe/institucion/minedu/normas-legales/124037-256-2016-minedu</w:t>
            </w:r>
          </w:p>
          <w:p w14:paraId="214479A3" w14:textId="77777777" w:rsidR="005B4C21" w:rsidRPr="007F2000" w:rsidRDefault="005B4C21" w:rsidP="00062B08">
            <w:pPr>
              <w:jc w:val="both"/>
              <w:rPr>
                <w:sz w:val="12"/>
                <w:lang w:val="en-US"/>
              </w:rPr>
            </w:pPr>
          </w:p>
        </w:tc>
      </w:tr>
      <w:tr w:rsidR="00057AB6" w:rsidRPr="007F2000" w14:paraId="08632259" w14:textId="77777777" w:rsidTr="101BB99B">
        <w:trPr>
          <w:trHeight w:val="260"/>
        </w:trPr>
        <w:tc>
          <w:tcPr>
            <w:tcW w:w="8529" w:type="dxa"/>
            <w:tcBorders>
              <w:left w:val="single" w:sz="4" w:space="0" w:color="auto"/>
            </w:tcBorders>
            <w:shd w:val="clear" w:color="auto" w:fill="000000" w:themeFill="text1"/>
          </w:tcPr>
          <w:p w14:paraId="7155EC9C" w14:textId="6061BA3F" w:rsidR="00002FFB" w:rsidRPr="007F2000" w:rsidRDefault="00F95B43" w:rsidP="00057AB6">
            <w:r w:rsidRPr="2BB5E058">
              <w:rPr>
                <w:b/>
                <w:bCs/>
              </w:rPr>
              <w:lastRenderedPageBreak/>
              <w:t>Estándares de Calidad</w:t>
            </w:r>
          </w:p>
        </w:tc>
      </w:tr>
      <w:tr w:rsidR="00002FFB" w:rsidRPr="005B4C21" w14:paraId="094E85F5" w14:textId="77777777" w:rsidTr="101BB99B">
        <w:trPr>
          <w:trHeight w:val="260"/>
        </w:trPr>
        <w:tc>
          <w:tcPr>
            <w:tcW w:w="8529" w:type="dxa"/>
            <w:tcBorders>
              <w:left w:val="single" w:sz="4" w:space="0" w:color="auto"/>
            </w:tcBorders>
          </w:tcPr>
          <w:p w14:paraId="64874914" w14:textId="24E04B5F" w:rsidR="00EA5E5C" w:rsidRDefault="00EA5E5C" w:rsidP="00062B08">
            <w:pPr>
              <w:jc w:val="both"/>
              <w:rPr>
                <w:b/>
              </w:rPr>
            </w:pPr>
          </w:p>
          <w:p w14:paraId="5E29659B" w14:textId="42417737" w:rsidR="00002FFB" w:rsidRPr="007F2000" w:rsidRDefault="00F95B43" w:rsidP="00062B08">
            <w:pPr>
              <w:jc w:val="both"/>
            </w:pPr>
            <w:r w:rsidRPr="007F2000">
              <w:rPr>
                <w:b/>
              </w:rPr>
              <w:t>Descripción</w:t>
            </w:r>
            <w:r w:rsidRPr="007F2000">
              <w:t>:</w:t>
            </w:r>
          </w:p>
          <w:p w14:paraId="22B1C707" w14:textId="5265E7B5" w:rsidR="006113CA" w:rsidRPr="00F03076" w:rsidRDefault="006113CA" w:rsidP="00062B08">
            <w:pPr>
              <w:jc w:val="both"/>
            </w:pPr>
          </w:p>
          <w:p w14:paraId="040F01FD" w14:textId="3040B7C4" w:rsidR="00E36D7A" w:rsidRDefault="73F7757A" w:rsidP="00062B08">
            <w:pPr>
              <w:jc w:val="both"/>
              <w:rPr>
                <w:b/>
              </w:rPr>
            </w:pPr>
            <w:r w:rsidRPr="73F7757A">
              <w:rPr>
                <w:b/>
                <w:bCs/>
              </w:rPr>
              <w:t xml:space="preserve">i. Reglamento Nacional de Edificaciones </w:t>
            </w:r>
          </w:p>
          <w:p w14:paraId="68885AF9" w14:textId="77777777" w:rsidR="00183021" w:rsidRDefault="00183021" w:rsidP="00183021">
            <w:pPr>
              <w:jc w:val="both"/>
            </w:pPr>
          </w:p>
          <w:p w14:paraId="4ECBF1FE" w14:textId="1D15CDE4" w:rsidR="00E36D7A" w:rsidRPr="001669A2" w:rsidRDefault="73F7757A" w:rsidP="00183021">
            <w:pPr>
              <w:jc w:val="both"/>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 (Norma 6)</w:t>
            </w:r>
          </w:p>
          <w:p w14:paraId="010F8820" w14:textId="77777777" w:rsidR="00E36D7A" w:rsidRDefault="00E36D7A" w:rsidP="00062B08">
            <w:pPr>
              <w:jc w:val="both"/>
              <w:rPr>
                <w:b/>
              </w:rPr>
            </w:pPr>
          </w:p>
          <w:p w14:paraId="32140028" w14:textId="0001C1AB" w:rsidR="009D1003" w:rsidRPr="00262612" w:rsidRDefault="73F7757A" w:rsidP="00062B08">
            <w:pPr>
              <w:jc w:val="both"/>
            </w:pPr>
            <w:proofErr w:type="spellStart"/>
            <w:r w:rsidRPr="73F7757A">
              <w:rPr>
                <w:b/>
                <w:bCs/>
              </w:rPr>
              <w:t>ii</w:t>
            </w:r>
            <w:proofErr w:type="spellEnd"/>
            <w:r w:rsidRPr="73F7757A">
              <w:rPr>
                <w:b/>
                <w:bCs/>
              </w:rPr>
              <w:t xml:space="preserve">. Norma Técnica “Criterios Generales de Diseño </w:t>
            </w:r>
            <w:r w:rsidR="008C23EC">
              <w:rPr>
                <w:b/>
                <w:bCs/>
              </w:rPr>
              <w:t>para</w:t>
            </w:r>
            <w:r w:rsidRPr="73F7757A">
              <w:rPr>
                <w:b/>
                <w:bCs/>
              </w:rPr>
              <w:t xml:space="preserve"> Infraestructura Educativa</w:t>
            </w:r>
            <w:r w:rsidRPr="00262612">
              <w:rPr>
                <w:b/>
                <w:bCs/>
              </w:rPr>
              <w:t>”</w:t>
            </w:r>
            <w:r w:rsidRPr="00262612">
              <w:t xml:space="preserve">, que establece, entre otros, lo siguiente: </w:t>
            </w:r>
          </w:p>
          <w:p w14:paraId="4456C869" w14:textId="77777777" w:rsidR="009D1003" w:rsidRPr="00F03076" w:rsidRDefault="009D1003" w:rsidP="00062B08">
            <w:pPr>
              <w:jc w:val="both"/>
            </w:pPr>
          </w:p>
          <w:p w14:paraId="57EDCD19" w14:textId="77777777" w:rsidR="008C23EC" w:rsidRDefault="008C23EC" w:rsidP="008C23EC">
            <w:pPr>
              <w:pStyle w:val="Prrafodelista"/>
              <w:numPr>
                <w:ilvl w:val="0"/>
                <w:numId w:val="28"/>
              </w:numPr>
              <w:jc w:val="both"/>
            </w:pPr>
            <w:r>
              <w:t>Principios generales de diseño aplicables a la infraestructura educativa.</w:t>
            </w:r>
          </w:p>
          <w:p w14:paraId="58E2190A" w14:textId="77777777" w:rsidR="008C23EC" w:rsidRDefault="008C23EC" w:rsidP="008C23EC">
            <w:pPr>
              <w:pStyle w:val="Prrafodelista"/>
              <w:numPr>
                <w:ilvl w:val="0"/>
                <w:numId w:val="28"/>
              </w:numPr>
              <w:jc w:val="both"/>
            </w:pPr>
            <w:r>
              <w:t>Criterios para el diseño arquitectónico.</w:t>
            </w:r>
          </w:p>
          <w:p w14:paraId="74E7701E" w14:textId="77777777" w:rsidR="008C23EC" w:rsidRDefault="008C23EC" w:rsidP="008C23EC">
            <w:pPr>
              <w:pStyle w:val="Prrafodelista"/>
              <w:numPr>
                <w:ilvl w:val="0"/>
                <w:numId w:val="28"/>
              </w:numPr>
              <w:jc w:val="both"/>
            </w:pPr>
            <w:r>
              <w:t>Criterios para el diseño estructural</w:t>
            </w:r>
          </w:p>
          <w:p w14:paraId="6DC526C8" w14:textId="77777777" w:rsidR="008C23EC" w:rsidRDefault="008C23EC" w:rsidP="008C23EC">
            <w:pPr>
              <w:pStyle w:val="Prrafodelista"/>
              <w:numPr>
                <w:ilvl w:val="0"/>
                <w:numId w:val="28"/>
              </w:numPr>
              <w:jc w:val="both"/>
            </w:pPr>
            <w:r>
              <w:t>Ambientes del local educativo</w:t>
            </w:r>
          </w:p>
          <w:p w14:paraId="3F6DB879" w14:textId="77777777" w:rsidR="008C23EC" w:rsidRDefault="008C23EC" w:rsidP="008C23EC">
            <w:pPr>
              <w:pStyle w:val="Prrafodelista"/>
              <w:numPr>
                <w:ilvl w:val="0"/>
                <w:numId w:val="28"/>
              </w:numPr>
              <w:jc w:val="both"/>
            </w:pPr>
            <w:r>
              <w:t>Clasificación de ambientes</w:t>
            </w:r>
          </w:p>
          <w:p w14:paraId="6F4AD07F" w14:textId="77777777" w:rsidR="008C23EC" w:rsidRDefault="008C23EC" w:rsidP="008C23EC">
            <w:pPr>
              <w:pStyle w:val="Prrafodelista"/>
              <w:numPr>
                <w:ilvl w:val="0"/>
                <w:numId w:val="28"/>
              </w:numPr>
              <w:jc w:val="both"/>
            </w:pPr>
            <w:r>
              <w:t>Programación arquitectónica del local educativo</w:t>
            </w:r>
          </w:p>
          <w:p w14:paraId="242D9079" w14:textId="77777777" w:rsidR="008C23EC" w:rsidRDefault="008C23EC" w:rsidP="008C23EC">
            <w:pPr>
              <w:pStyle w:val="Prrafodelista"/>
              <w:numPr>
                <w:ilvl w:val="0"/>
                <w:numId w:val="28"/>
              </w:numPr>
              <w:jc w:val="both"/>
            </w:pPr>
            <w:r>
              <w:t>Mantenimiento</w:t>
            </w:r>
          </w:p>
          <w:p w14:paraId="030C4103" w14:textId="7145B186" w:rsidR="008C23EC" w:rsidRDefault="008C23EC" w:rsidP="008C23EC">
            <w:pPr>
              <w:pStyle w:val="Prrafodelista"/>
              <w:numPr>
                <w:ilvl w:val="0"/>
                <w:numId w:val="28"/>
              </w:numPr>
              <w:jc w:val="both"/>
            </w:pPr>
            <w:r>
              <w:t xml:space="preserve">Limpieza, gestión y manejo de residuos sólidos (Norma </w:t>
            </w:r>
            <w:r>
              <w:t>7</w:t>
            </w:r>
            <w:r>
              <w:t>)</w:t>
            </w:r>
          </w:p>
          <w:p w14:paraId="1F613EFC" w14:textId="77777777" w:rsidR="009D1003" w:rsidRDefault="009D1003" w:rsidP="00062B08">
            <w:pPr>
              <w:jc w:val="both"/>
              <w:rPr>
                <w:b/>
              </w:rPr>
            </w:pPr>
          </w:p>
          <w:p w14:paraId="2E616419" w14:textId="58B83DF6" w:rsidR="00F03076" w:rsidRPr="00262612" w:rsidRDefault="69791A20" w:rsidP="00062B08">
            <w:pPr>
              <w:jc w:val="both"/>
            </w:pPr>
            <w:proofErr w:type="spellStart"/>
            <w:r w:rsidRPr="135D13B1">
              <w:rPr>
                <w:b/>
                <w:bCs/>
              </w:rPr>
              <w:t>iii</w:t>
            </w:r>
            <w:proofErr w:type="spellEnd"/>
            <w:r w:rsidRPr="135D13B1">
              <w:rPr>
                <w:b/>
                <w:bCs/>
              </w:rPr>
              <w:t xml:space="preserve">. Norma Técnica “Criterios de Diseño para Locales Educativos de Primaria y Secundaria”, </w:t>
            </w:r>
            <w:r w:rsidRPr="00262612">
              <w:t>establece, entre otros, lo siguiente:</w:t>
            </w:r>
          </w:p>
          <w:p w14:paraId="6949D0AC" w14:textId="77777777" w:rsidR="00F03076" w:rsidRPr="00F03076" w:rsidRDefault="00F03076" w:rsidP="00062B08">
            <w:pPr>
              <w:jc w:val="both"/>
            </w:pPr>
          </w:p>
          <w:p w14:paraId="4FD73C29" w14:textId="77777777" w:rsidR="00F03076" w:rsidRPr="00F03076" w:rsidRDefault="00F03076" w:rsidP="00062B08">
            <w:pPr>
              <w:ind w:left="738"/>
              <w:jc w:val="both"/>
            </w:pPr>
            <w:r w:rsidRPr="00F03076">
              <w:t>• Criterios de elección de terrenos para uso de instituciones educativas.</w:t>
            </w:r>
          </w:p>
          <w:p w14:paraId="0F2BDD65" w14:textId="77777777" w:rsidR="00F03076" w:rsidRPr="00F03076" w:rsidRDefault="00F03076" w:rsidP="00062B08">
            <w:pPr>
              <w:ind w:left="738"/>
              <w:jc w:val="both"/>
            </w:pPr>
            <w:r w:rsidRPr="00F03076">
              <w:t>• Criterios de diseño arquitectónico específico.</w:t>
            </w:r>
          </w:p>
          <w:p w14:paraId="20D91FC5" w14:textId="77777777" w:rsidR="00F03076" w:rsidRPr="00F03076" w:rsidRDefault="00F03076" w:rsidP="00062B08">
            <w:pPr>
              <w:ind w:left="738"/>
              <w:jc w:val="both"/>
            </w:pPr>
            <w:r w:rsidRPr="00F03076">
              <w:t>• Características de ambientes acorde al servicio educativo.</w:t>
            </w:r>
          </w:p>
          <w:p w14:paraId="44A48542" w14:textId="6F408C37" w:rsidR="00F03076" w:rsidRPr="00F03076" w:rsidRDefault="73F7757A" w:rsidP="00062B08">
            <w:pPr>
              <w:ind w:left="738"/>
              <w:jc w:val="both"/>
            </w:pPr>
            <w:r>
              <w:t>• Criterios para la definición de programa arquitectónico. (Norma 8)</w:t>
            </w:r>
          </w:p>
          <w:p w14:paraId="5BDA04B1" w14:textId="77777777" w:rsidR="00827B5D" w:rsidRDefault="00827B5D" w:rsidP="00062B08">
            <w:pPr>
              <w:jc w:val="both"/>
              <w:rPr>
                <w:b/>
              </w:rPr>
            </w:pPr>
          </w:p>
          <w:p w14:paraId="55F2EF56" w14:textId="66EE7299" w:rsidR="00827B5D" w:rsidRDefault="69791A20" w:rsidP="00062B08">
            <w:pPr>
              <w:jc w:val="both"/>
              <w:rPr>
                <w:b/>
                <w:bCs/>
              </w:rPr>
            </w:pPr>
            <w:proofErr w:type="spellStart"/>
            <w:r w:rsidRPr="135D13B1">
              <w:rPr>
                <w:b/>
                <w:bCs/>
              </w:rPr>
              <w:t>iv</w:t>
            </w:r>
            <w:proofErr w:type="spellEnd"/>
            <w:r w:rsidRPr="135D13B1">
              <w:rPr>
                <w:b/>
                <w:bCs/>
              </w:rPr>
              <w:t xml:space="preserve">. </w:t>
            </w:r>
            <w:r w:rsidR="053BEE49" w:rsidRPr="135D13B1">
              <w:rPr>
                <w:b/>
                <w:bCs/>
              </w:rPr>
              <w:t xml:space="preserve">Norma Técnica </w:t>
            </w:r>
            <w:r w:rsidR="659F7088" w:rsidRPr="135D13B1">
              <w:rPr>
                <w:b/>
                <w:bCs/>
              </w:rPr>
              <w:t>“</w:t>
            </w:r>
            <w:r w:rsidRPr="135D13B1">
              <w:rPr>
                <w:b/>
                <w:bCs/>
              </w:rPr>
              <w:t>Criterios de Diseño para Ambientes de Servicios de Alimentación en los Locales Educativos de la Educación Básica</w:t>
            </w:r>
            <w:r w:rsidR="3349FDD1" w:rsidRPr="135D13B1">
              <w:rPr>
                <w:b/>
                <w:bCs/>
              </w:rPr>
              <w:t>”</w:t>
            </w:r>
            <w:r w:rsidRPr="135D13B1">
              <w:rPr>
                <w:b/>
                <w:bCs/>
              </w:rPr>
              <w:t>:</w:t>
            </w:r>
          </w:p>
          <w:p w14:paraId="63D4ABCE" w14:textId="77777777" w:rsidR="00827B5D" w:rsidRDefault="00827B5D" w:rsidP="00062B08">
            <w:pPr>
              <w:jc w:val="both"/>
            </w:pPr>
          </w:p>
          <w:p w14:paraId="70CFD773" w14:textId="6CA3FDCE" w:rsidR="00827B5D" w:rsidRDefault="69791A20" w:rsidP="00C04508">
            <w:pPr>
              <w:jc w:val="both"/>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 (Norma 9)</w:t>
            </w:r>
          </w:p>
          <w:p w14:paraId="71AC29A6" w14:textId="77777777" w:rsidR="00D513A0" w:rsidRDefault="00D513A0" w:rsidP="00062B08">
            <w:pPr>
              <w:ind w:left="738"/>
              <w:jc w:val="both"/>
            </w:pPr>
          </w:p>
          <w:p w14:paraId="11E3D7F1" w14:textId="38D98DC7" w:rsidR="00D513A0" w:rsidRDefault="69791A20" w:rsidP="00062B08">
            <w:pPr>
              <w:jc w:val="both"/>
              <w:rPr>
                <w:b/>
              </w:rPr>
            </w:pPr>
            <w:r w:rsidRPr="135D13B1">
              <w:rPr>
                <w:b/>
                <w:bCs/>
              </w:rPr>
              <w:t xml:space="preserve">v. </w:t>
            </w:r>
            <w:r w:rsidRPr="135D13B1">
              <w:rPr>
                <w:rFonts w:ascii="Calibri" w:eastAsia="Calibri" w:hAnsi="Calibri" w:cs="Times New Roman"/>
                <w:b/>
                <w:bCs/>
                <w:color w:val="000000" w:themeColor="text1"/>
              </w:rPr>
              <w:t xml:space="preserve">Norma Técnica “Criterios </w:t>
            </w:r>
            <w:r w:rsidR="5037A45C" w:rsidRPr="135D13B1">
              <w:rPr>
                <w:rFonts w:ascii="Calibri" w:eastAsia="Calibri" w:hAnsi="Calibri" w:cs="Times New Roman"/>
                <w:b/>
                <w:bCs/>
                <w:color w:val="000000" w:themeColor="text1"/>
              </w:rPr>
              <w:t xml:space="preserve">para el </w:t>
            </w:r>
            <w:r w:rsidR="71484533" w:rsidRPr="135D13B1">
              <w:rPr>
                <w:rFonts w:ascii="Calibri" w:eastAsia="Calibri" w:hAnsi="Calibri" w:cs="Times New Roman"/>
                <w:b/>
                <w:bCs/>
                <w:color w:val="000000" w:themeColor="text1"/>
              </w:rPr>
              <w:t>D</w:t>
            </w:r>
            <w:r w:rsidRPr="135D13B1">
              <w:rPr>
                <w:rFonts w:ascii="Calibri" w:eastAsia="Calibri" w:hAnsi="Calibri" w:cs="Times New Roman"/>
                <w:b/>
                <w:bCs/>
                <w:color w:val="000000" w:themeColor="text1"/>
              </w:rPr>
              <w:t xml:space="preserve">iseño </w:t>
            </w:r>
            <w:r w:rsidR="5068C581" w:rsidRPr="135D13B1">
              <w:rPr>
                <w:rFonts w:ascii="Calibri" w:eastAsia="Calibri" w:hAnsi="Calibri" w:cs="Times New Roman"/>
                <w:b/>
                <w:bCs/>
                <w:color w:val="000000" w:themeColor="text1"/>
              </w:rPr>
              <w:t>de M</w:t>
            </w:r>
            <w:r w:rsidRPr="135D13B1">
              <w:rPr>
                <w:rFonts w:ascii="Calibri" w:eastAsia="Calibri" w:hAnsi="Calibri" w:cs="Times New Roman"/>
                <w:b/>
                <w:bCs/>
                <w:color w:val="000000" w:themeColor="text1"/>
              </w:rPr>
              <w:t xml:space="preserve">obiliario </w:t>
            </w:r>
            <w:r w:rsidR="2C0D7462" w:rsidRPr="135D13B1">
              <w:rPr>
                <w:rFonts w:ascii="Calibri" w:eastAsia="Calibri" w:hAnsi="Calibri" w:cs="Times New Roman"/>
                <w:b/>
                <w:bCs/>
                <w:color w:val="000000" w:themeColor="text1"/>
              </w:rPr>
              <w:t>E</w:t>
            </w:r>
            <w:r w:rsidRPr="135D13B1">
              <w:rPr>
                <w:rFonts w:ascii="Calibri" w:eastAsia="Calibri" w:hAnsi="Calibri" w:cs="Times New Roman"/>
                <w:b/>
                <w:bCs/>
                <w:color w:val="000000" w:themeColor="text1"/>
              </w:rPr>
              <w:t>ducativo de la Educación Básica</w:t>
            </w:r>
            <w:r w:rsidR="5FF0882D" w:rsidRPr="135D13B1">
              <w:rPr>
                <w:rFonts w:ascii="Calibri" w:eastAsia="Calibri" w:hAnsi="Calibri" w:cs="Times New Roman"/>
                <w:b/>
                <w:bCs/>
                <w:color w:val="000000" w:themeColor="text1"/>
              </w:rPr>
              <w:t xml:space="preserve"> Regular</w:t>
            </w:r>
            <w:r w:rsidRPr="135D13B1">
              <w:rPr>
                <w:rFonts w:ascii="Calibri" w:eastAsia="Calibri" w:hAnsi="Calibri" w:cs="Times New Roman"/>
                <w:b/>
                <w:bCs/>
                <w:color w:val="000000" w:themeColor="text1"/>
              </w:rPr>
              <w:t xml:space="preserve">” </w:t>
            </w:r>
          </w:p>
          <w:p w14:paraId="3CB32EEC" w14:textId="77777777" w:rsidR="00C04508" w:rsidRDefault="00C04508" w:rsidP="00C04508">
            <w:pPr>
              <w:spacing w:line="259" w:lineRule="auto"/>
              <w:jc w:val="both"/>
            </w:pPr>
          </w:p>
          <w:p w14:paraId="6FE7344A" w14:textId="0D9232CA" w:rsidR="00D513A0" w:rsidRDefault="69791A20" w:rsidP="00C04508">
            <w:pPr>
              <w:spacing w:line="259" w:lineRule="auto"/>
              <w:jc w:val="both"/>
            </w:pPr>
            <w:r w:rsidRPr="005D176D">
              <w:t xml:space="preserve">En esta Norma Técnica se establecen criterios para el </w:t>
            </w:r>
            <w:r w:rsidR="2D3BBE7A" w:rsidRPr="005D176D">
              <w:t>d</w:t>
            </w:r>
            <w:r w:rsidRPr="005D176D">
              <w:t xml:space="preserve">iseño de </w:t>
            </w:r>
            <w:r w:rsidR="2DC8581A" w:rsidRPr="005D176D">
              <w:t>m</w:t>
            </w:r>
            <w:r w:rsidRPr="005D176D">
              <w:t xml:space="preserve">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w:t>
            </w:r>
            <w:r w:rsidR="1D15B24E" w:rsidRPr="005D176D">
              <w:t>10)</w:t>
            </w:r>
            <w:r>
              <w:t xml:space="preserve"> </w:t>
            </w:r>
          </w:p>
          <w:p w14:paraId="33E80391" w14:textId="77777777" w:rsidR="00BF44ED" w:rsidRDefault="00BF44ED" w:rsidP="00062B08">
            <w:pPr>
              <w:jc w:val="both"/>
            </w:pPr>
          </w:p>
          <w:p w14:paraId="1A0AE6F0" w14:textId="12CC4F3A" w:rsidR="001148BB" w:rsidRDefault="001148BB" w:rsidP="001148BB">
            <w:pPr>
              <w:jc w:val="both"/>
              <w:rPr>
                <w:b/>
              </w:rPr>
            </w:pPr>
            <w:r>
              <w:rPr>
                <w:b/>
              </w:rPr>
              <w:t>vi. Guía de Estrategias de Diseño Bioclimático para el Confort Térmico</w:t>
            </w:r>
          </w:p>
          <w:p w14:paraId="2F4A518A" w14:textId="77777777" w:rsidR="001148BB" w:rsidRDefault="001148BB" w:rsidP="001148BB">
            <w:pPr>
              <w:jc w:val="both"/>
              <w:rPr>
                <w:b/>
              </w:rPr>
            </w:pPr>
          </w:p>
          <w:p w14:paraId="5126F87E" w14:textId="77777777" w:rsidR="001148BB" w:rsidRDefault="001148BB" w:rsidP="001148BB">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5F17E00D" w14:textId="77777777" w:rsidR="001148BB" w:rsidRDefault="001148BB" w:rsidP="001148BB">
            <w:pPr>
              <w:jc w:val="both"/>
              <w:rPr>
                <w:bCs/>
              </w:rPr>
            </w:pPr>
          </w:p>
          <w:p w14:paraId="31FB2A3D" w14:textId="77777777" w:rsidR="001148BB" w:rsidRDefault="001148BB" w:rsidP="001148BB">
            <w:pPr>
              <w:jc w:val="both"/>
            </w:pPr>
            <w:r w:rsidRPr="00AB5711">
              <w:t xml:space="preserve">• </w:t>
            </w:r>
            <w:r>
              <w:t>Variables de confort térmico</w:t>
            </w:r>
          </w:p>
          <w:p w14:paraId="0B9045FF" w14:textId="77777777" w:rsidR="001148BB" w:rsidRDefault="001148BB" w:rsidP="001148BB">
            <w:pPr>
              <w:jc w:val="both"/>
            </w:pPr>
            <w:r w:rsidRPr="00AB5711">
              <w:t xml:space="preserve">• </w:t>
            </w:r>
            <w:r>
              <w:t>Recomendaciones para determinar la zona de confort térmico</w:t>
            </w:r>
          </w:p>
          <w:p w14:paraId="38DA0754" w14:textId="4445008B" w:rsidR="001148BB" w:rsidRDefault="001148BB" w:rsidP="001148BB">
            <w:pPr>
              <w:jc w:val="both"/>
            </w:pPr>
            <w:r w:rsidRPr="00AB5711">
              <w:t xml:space="preserve">• </w:t>
            </w:r>
            <w:r>
              <w:t>Estrategias generales de diseño bioclimático, entre otros (</w:t>
            </w:r>
            <w:r w:rsidR="00A307BA">
              <w:t>Norma 1</w:t>
            </w:r>
            <w:r>
              <w:t>1)</w:t>
            </w:r>
          </w:p>
          <w:p w14:paraId="45548362" w14:textId="77777777" w:rsidR="001148BB" w:rsidRDefault="001148BB" w:rsidP="00062B08">
            <w:pPr>
              <w:jc w:val="both"/>
            </w:pPr>
          </w:p>
          <w:p w14:paraId="133C1640" w14:textId="785FA3DA" w:rsidR="00002FFB" w:rsidRPr="007F2000" w:rsidRDefault="00B72BD7" w:rsidP="00062B08">
            <w:pPr>
              <w:jc w:val="both"/>
            </w:pPr>
            <w:r w:rsidRPr="007F2000">
              <w:rPr>
                <w:b/>
              </w:rPr>
              <w:t>Norma Legal</w:t>
            </w:r>
            <w:r w:rsidR="00F95B43" w:rsidRPr="007F2000">
              <w:rPr>
                <w:b/>
              </w:rPr>
              <w:t>:</w:t>
            </w:r>
          </w:p>
          <w:p w14:paraId="032E5AB6" w14:textId="77777777" w:rsidR="00002FFB" w:rsidRPr="007F2000" w:rsidRDefault="00002FFB" w:rsidP="00062B08">
            <w:pPr>
              <w:pStyle w:val="Prrafodelista"/>
              <w:ind w:left="313"/>
              <w:jc w:val="both"/>
              <w:rPr>
                <w:sz w:val="18"/>
              </w:rPr>
            </w:pPr>
          </w:p>
          <w:p w14:paraId="064908C7" w14:textId="2A1B8CD7" w:rsidR="00E36D7A" w:rsidRPr="00410396" w:rsidRDefault="779899BB" w:rsidP="00062B08">
            <w:pPr>
              <w:jc w:val="both"/>
            </w:pPr>
            <w:r>
              <w:t xml:space="preserve">(Norma </w:t>
            </w:r>
            <w:r w:rsidR="1EF40E99">
              <w:t>6</w:t>
            </w:r>
            <w:r>
              <w:t xml:space="preserve">) Normas Técnicas del Reglamento Nacional de Edificaciones – RNE, aprobadas con Decreto Supremo </w:t>
            </w:r>
            <w:proofErr w:type="spellStart"/>
            <w:r>
              <w:t>N°</w:t>
            </w:r>
            <w:proofErr w:type="spellEnd"/>
            <w:r>
              <w:t xml:space="preserve"> 011-2006-VIVIENDA y sus </w:t>
            </w:r>
            <w:r w:rsidR="0580C5C1">
              <w:t>actualizaciones</w:t>
            </w:r>
            <w:r>
              <w:t>.</w:t>
            </w:r>
          </w:p>
          <w:p w14:paraId="3AE25E8F" w14:textId="047B707F" w:rsidR="00E36D7A" w:rsidRDefault="00E36D7A" w:rsidP="00062B08">
            <w:pPr>
              <w:jc w:val="both"/>
              <w:rPr>
                <w:color w:val="0070C0"/>
                <w:lang w:val="en-AU"/>
              </w:rPr>
            </w:pPr>
            <w:r w:rsidRPr="00410396">
              <w:rPr>
                <w:lang w:val="en-AU"/>
              </w:rPr>
              <w:t xml:space="preserve">Link: </w:t>
            </w:r>
            <w:hyperlink r:id="rId9" w:history="1">
              <w:r w:rsidR="009D1003" w:rsidRPr="008D3AAF">
                <w:rPr>
                  <w:rStyle w:val="Hipervnculo"/>
                  <w:lang w:val="en-AU"/>
                </w:rPr>
                <w:t>http://www.construccion.org/normas/rne2012/rne2006.htm</w:t>
              </w:r>
            </w:hyperlink>
          </w:p>
          <w:p w14:paraId="75D96B87" w14:textId="77777777" w:rsidR="009D1003" w:rsidRDefault="009D1003" w:rsidP="00062B08">
            <w:pPr>
              <w:jc w:val="both"/>
              <w:rPr>
                <w:lang w:val="en-AU"/>
              </w:rPr>
            </w:pPr>
          </w:p>
          <w:p w14:paraId="1BA33F78" w14:textId="6A983453" w:rsidR="008C23EC" w:rsidRDefault="008C23EC" w:rsidP="008C23EC">
            <w:pPr>
              <w:jc w:val="both"/>
            </w:pPr>
            <w:r>
              <w:t xml:space="preserve">(Norma </w:t>
            </w:r>
            <w:r>
              <w:t>7</w:t>
            </w:r>
            <w:r>
              <w:t xml:space="preserve">) Norma Técnica “Criterios Generales de Diseño para la Infraestructura Educativa”, aprobada con la Resolución Viceministerial </w:t>
            </w:r>
            <w:proofErr w:type="spellStart"/>
            <w:r>
              <w:t>N°</w:t>
            </w:r>
            <w:proofErr w:type="spellEnd"/>
            <w:r>
              <w:t xml:space="preserve"> 068-2025-MINEDU. </w:t>
            </w:r>
          </w:p>
          <w:p w14:paraId="60C6ABD8" w14:textId="77777777" w:rsidR="008C23EC" w:rsidRDefault="008C23EC" w:rsidP="008C23EC">
            <w:pPr>
              <w:jc w:val="both"/>
              <w:rPr>
                <w:lang w:val="en-US"/>
              </w:rPr>
            </w:pPr>
            <w:r w:rsidRPr="00197F7E">
              <w:rPr>
                <w:lang w:val="en-US"/>
              </w:rPr>
              <w:t xml:space="preserve">Link: </w:t>
            </w:r>
            <w:hyperlink r:id="rId10" w:history="1">
              <w:r w:rsidRPr="00984747">
                <w:rPr>
                  <w:rStyle w:val="Hipervnculo"/>
                  <w:lang w:val="en-US"/>
                </w:rPr>
                <w:t>https://www.minedu.gob.pe/p/app_normatividad.php</w:t>
              </w:r>
            </w:hyperlink>
          </w:p>
          <w:p w14:paraId="70B3E8D9" w14:textId="7FFFE5D7" w:rsidR="00A72837" w:rsidRPr="008C23EC" w:rsidRDefault="00A72837" w:rsidP="00062B08">
            <w:pPr>
              <w:jc w:val="both"/>
              <w:rPr>
                <w:lang w:val="en-US"/>
              </w:rPr>
            </w:pPr>
          </w:p>
          <w:p w14:paraId="6CA0F15F" w14:textId="501AC592" w:rsidR="00E43D92" w:rsidRDefault="60B2868E" w:rsidP="00062B08">
            <w:pPr>
              <w:jc w:val="both"/>
            </w:pPr>
            <w:r w:rsidRPr="135D13B1">
              <w:rPr>
                <w:color w:val="000000" w:themeColor="text1"/>
              </w:rPr>
              <w:t>(</w:t>
            </w:r>
            <w:r w:rsidR="78730186" w:rsidRPr="135D13B1">
              <w:rPr>
                <w:color w:val="000000" w:themeColor="text1"/>
              </w:rPr>
              <w:t xml:space="preserve">Norma </w:t>
            </w:r>
            <w:r w:rsidR="007B70A2" w:rsidRPr="135D13B1">
              <w:rPr>
                <w:color w:val="000000" w:themeColor="text1"/>
              </w:rPr>
              <w:t>8</w:t>
            </w:r>
            <w:r w:rsidRPr="135D13B1">
              <w:rPr>
                <w:color w:val="000000" w:themeColor="text1"/>
              </w:rPr>
              <w:t xml:space="preserve">) Norma </w:t>
            </w:r>
            <w:r>
              <w:t>Técnica “Criterios de Diseño para Locales Educativos de Primaria y Secundaria”, a</w:t>
            </w:r>
            <w:r w:rsidR="2EB7DC4A">
              <w:t xml:space="preserve">ctualizada </w:t>
            </w:r>
            <w:r>
              <w:t xml:space="preserve">mediante Resolución Viceministerial </w:t>
            </w:r>
            <w:proofErr w:type="spellStart"/>
            <w:r>
              <w:t>N°</w:t>
            </w:r>
            <w:proofErr w:type="spellEnd"/>
            <w:r>
              <w:t xml:space="preserve"> 208-2019-MINEDU</w:t>
            </w:r>
            <w:r w:rsidR="55263E15">
              <w:t>.</w:t>
            </w:r>
          </w:p>
          <w:p w14:paraId="7558BBA0" w14:textId="1232483D" w:rsidR="00E43D92" w:rsidRPr="00E43D92" w:rsidRDefault="00E43D92" w:rsidP="00062B08">
            <w:pPr>
              <w:jc w:val="both"/>
              <w:rPr>
                <w:lang w:val="en-AU"/>
              </w:rPr>
            </w:pPr>
            <w:r w:rsidRPr="00E43D92">
              <w:rPr>
                <w:lang w:val="en-AU"/>
              </w:rPr>
              <w:t xml:space="preserve">Link: </w:t>
            </w:r>
            <w:r w:rsidRPr="00291829">
              <w:rPr>
                <w:rStyle w:val="Hipervnculo"/>
                <w:lang w:val="en-US"/>
              </w:rPr>
              <w:t>http://www.minedu.gob.pe/p/pdf/rvm-n208-2019-minedu-nt-primaria-y-secundaria.pdf</w:t>
            </w:r>
            <w:r w:rsidRPr="00E43D92">
              <w:rPr>
                <w:color w:val="0070C0"/>
                <w:lang w:val="en-AU"/>
              </w:rPr>
              <w:t xml:space="preserve"> </w:t>
            </w:r>
          </w:p>
          <w:p w14:paraId="016F0BBB" w14:textId="77777777" w:rsidR="00303CFE" w:rsidRPr="00410396" w:rsidRDefault="00303CFE" w:rsidP="00062B08">
            <w:pPr>
              <w:jc w:val="both"/>
              <w:rPr>
                <w:color w:val="0070C0"/>
                <w:lang w:val="en-AU"/>
              </w:rPr>
            </w:pPr>
          </w:p>
          <w:p w14:paraId="640A7753" w14:textId="1CC084F7" w:rsidR="00BF44ED" w:rsidRPr="00410396" w:rsidRDefault="3D7A06BF" w:rsidP="00062B08">
            <w:pPr>
              <w:jc w:val="both"/>
            </w:pPr>
            <w:r>
              <w:t>(</w:t>
            </w:r>
            <w:r w:rsidR="78730186">
              <w:t xml:space="preserve">Norma </w:t>
            </w:r>
            <w:r w:rsidR="6DAE57DF">
              <w:t>9</w:t>
            </w:r>
            <w:r>
              <w:t>) Norma Técnica “Criterios de Diseño para Ambientes de Servicios de Alimentación en los Locales Educativos de la Educación Básica</w:t>
            </w:r>
            <w:r w:rsidR="7D4B02EB">
              <w:t>”</w:t>
            </w:r>
            <w:r>
              <w:t xml:space="preserve">, aprobada con la Resolución </w:t>
            </w:r>
            <w:r w:rsidR="53E4153E">
              <w:t>Viceministerial</w:t>
            </w:r>
            <w:r>
              <w:t xml:space="preserve"> </w:t>
            </w:r>
            <w:proofErr w:type="spellStart"/>
            <w:r>
              <w:t>N°</w:t>
            </w:r>
            <w:proofErr w:type="spellEnd"/>
            <w:r>
              <w:t xml:space="preserve"> 054-2021-MINEDU</w:t>
            </w:r>
            <w:r w:rsidR="515196D2">
              <w:t xml:space="preserve"> </w:t>
            </w:r>
            <w:r w:rsidR="2FC0520D">
              <w:t>y su modificatoria</w:t>
            </w:r>
            <w:r>
              <w:t>.</w:t>
            </w:r>
          </w:p>
          <w:p w14:paraId="1323FC46" w14:textId="66769B52" w:rsidR="00BF44ED" w:rsidRDefault="00BF44ED" w:rsidP="00062B08">
            <w:pPr>
              <w:jc w:val="both"/>
              <w:rPr>
                <w:lang w:val="en-AU"/>
              </w:rPr>
            </w:pPr>
            <w:r w:rsidRPr="00410396">
              <w:rPr>
                <w:lang w:val="en-AU"/>
              </w:rPr>
              <w:t xml:space="preserve">Link: </w:t>
            </w:r>
            <w:hyperlink r:id="rId11" w:history="1">
              <w:r w:rsidRPr="00410396">
                <w:rPr>
                  <w:rStyle w:val="Hipervnculo"/>
                  <w:lang w:val="en-AU"/>
                </w:rPr>
                <w:t>http://www.minedu.gob.pe/p/pdf/rvm-n-054-2021-minedu.pdf</w:t>
              </w:r>
            </w:hyperlink>
            <w:r w:rsidRPr="00410396">
              <w:rPr>
                <w:lang w:val="en-AU"/>
              </w:rPr>
              <w:t xml:space="preserve"> </w:t>
            </w:r>
          </w:p>
          <w:p w14:paraId="6D23F0BD" w14:textId="4196C939" w:rsidR="00D513A0" w:rsidRDefault="5EF517AA" w:rsidP="00062B08">
            <w:pPr>
              <w:jc w:val="both"/>
              <w:rPr>
                <w:lang w:val="en-AU"/>
              </w:rPr>
            </w:pPr>
            <w:r w:rsidRPr="7646C508">
              <w:rPr>
                <w:lang w:val="en-AU"/>
              </w:rPr>
              <w:t>Link: https://busquedas.elperuano.pe/dispositivo/NL/2146943-1</w:t>
            </w:r>
          </w:p>
          <w:p w14:paraId="1677DD1F" w14:textId="16280F94" w:rsidR="7646C508" w:rsidRPr="00291829" w:rsidRDefault="7646C508" w:rsidP="00062B08">
            <w:pPr>
              <w:jc w:val="both"/>
              <w:rPr>
                <w:rFonts w:ascii="Calibri" w:eastAsia="Calibri" w:hAnsi="Calibri" w:cs="Times New Roman"/>
                <w:color w:val="000000" w:themeColor="text1"/>
                <w:lang w:val="en-US"/>
              </w:rPr>
            </w:pPr>
          </w:p>
          <w:p w14:paraId="21CB99E9" w14:textId="61668B4A" w:rsidR="00D513A0" w:rsidRPr="00F90BA7" w:rsidRDefault="067DD772" w:rsidP="00062B08">
            <w:pPr>
              <w:jc w:val="both"/>
              <w:rPr>
                <w:rFonts w:ascii="Calibri" w:eastAsia="Calibri" w:hAnsi="Calibri" w:cs="Times New Roman"/>
                <w:color w:val="000000"/>
              </w:rPr>
            </w:pPr>
            <w:r w:rsidRPr="7646C508">
              <w:rPr>
                <w:rFonts w:ascii="Calibri" w:eastAsia="Calibri" w:hAnsi="Calibri" w:cs="Times New Roman"/>
                <w:color w:val="000000" w:themeColor="text1"/>
              </w:rPr>
              <w:t>(Norma 1</w:t>
            </w:r>
            <w:r w:rsidR="1501F1E9" w:rsidRPr="7646C508">
              <w:rPr>
                <w:rFonts w:ascii="Calibri" w:eastAsia="Calibri" w:hAnsi="Calibri" w:cs="Times New Roman"/>
                <w:color w:val="000000" w:themeColor="text1"/>
              </w:rPr>
              <w:t>0</w:t>
            </w:r>
            <w:r w:rsidRPr="7646C508">
              <w:rPr>
                <w:rFonts w:ascii="Calibri" w:eastAsia="Calibri" w:hAnsi="Calibri" w:cs="Times New Roman"/>
                <w:color w:val="000000" w:themeColor="text1"/>
              </w:rPr>
              <w:t>)</w:t>
            </w:r>
            <w:r w:rsidRPr="7646C508">
              <w:rPr>
                <w:rFonts w:ascii="Calibri" w:eastAsia="Calibri" w:hAnsi="Calibri" w:cs="Times New Roman"/>
                <w:b/>
                <w:bCs/>
                <w:color w:val="000000" w:themeColor="text1"/>
              </w:rPr>
              <w:t xml:space="preserve"> </w:t>
            </w:r>
            <w:r w:rsidRPr="7646C508">
              <w:rPr>
                <w:rFonts w:ascii="Calibri" w:eastAsia="Calibri" w:hAnsi="Calibri" w:cs="Times New Roman"/>
                <w:color w:val="000000" w:themeColor="text1"/>
              </w:rPr>
              <w:t xml:space="preserve">Norma Técnica “Criterios </w:t>
            </w:r>
            <w:r w:rsidR="194CB70E" w:rsidRPr="7646C508">
              <w:rPr>
                <w:rFonts w:ascii="Calibri" w:eastAsia="Calibri" w:hAnsi="Calibri" w:cs="Times New Roman"/>
                <w:color w:val="000000" w:themeColor="text1"/>
              </w:rPr>
              <w:t>para el D</w:t>
            </w:r>
            <w:r w:rsidRPr="7646C508">
              <w:rPr>
                <w:rFonts w:ascii="Calibri" w:eastAsia="Calibri" w:hAnsi="Calibri" w:cs="Times New Roman"/>
                <w:color w:val="000000" w:themeColor="text1"/>
              </w:rPr>
              <w:t xml:space="preserve">iseño </w:t>
            </w:r>
            <w:r w:rsidR="64B4A0AC" w:rsidRPr="7646C508">
              <w:rPr>
                <w:rFonts w:ascii="Calibri" w:eastAsia="Calibri" w:hAnsi="Calibri" w:cs="Times New Roman"/>
                <w:color w:val="000000" w:themeColor="text1"/>
              </w:rPr>
              <w:t xml:space="preserve">de </w:t>
            </w:r>
            <w:r w:rsidR="13C4E60A" w:rsidRPr="7646C508">
              <w:rPr>
                <w:rFonts w:ascii="Calibri" w:eastAsia="Calibri" w:hAnsi="Calibri" w:cs="Times New Roman"/>
                <w:color w:val="000000" w:themeColor="text1"/>
              </w:rPr>
              <w:t>M</w:t>
            </w:r>
            <w:r w:rsidRPr="7646C508">
              <w:rPr>
                <w:rFonts w:ascii="Calibri" w:eastAsia="Calibri" w:hAnsi="Calibri" w:cs="Times New Roman"/>
                <w:color w:val="000000" w:themeColor="text1"/>
              </w:rPr>
              <w:t xml:space="preserve">obiliario </w:t>
            </w:r>
            <w:r w:rsidR="51F8D790" w:rsidRPr="7646C508">
              <w:rPr>
                <w:rFonts w:ascii="Calibri" w:eastAsia="Calibri" w:hAnsi="Calibri" w:cs="Times New Roman"/>
                <w:color w:val="000000" w:themeColor="text1"/>
              </w:rPr>
              <w:t>E</w:t>
            </w:r>
            <w:r w:rsidRPr="7646C508">
              <w:rPr>
                <w:rFonts w:ascii="Calibri" w:eastAsia="Calibri" w:hAnsi="Calibri" w:cs="Times New Roman"/>
                <w:color w:val="000000" w:themeColor="text1"/>
              </w:rPr>
              <w:t>ducativo de la Educación Básica</w:t>
            </w:r>
            <w:r w:rsidR="63147BB1" w:rsidRPr="7646C508">
              <w:rPr>
                <w:rFonts w:ascii="Calibri" w:eastAsia="Calibri" w:hAnsi="Calibri" w:cs="Times New Roman"/>
                <w:color w:val="000000" w:themeColor="text1"/>
              </w:rPr>
              <w:t xml:space="preserve"> Regular</w:t>
            </w:r>
            <w:r w:rsidRPr="7646C508">
              <w:rPr>
                <w:rFonts w:ascii="Calibri" w:eastAsia="Calibri" w:hAnsi="Calibri" w:cs="Times New Roman"/>
                <w:color w:val="000000" w:themeColor="text1"/>
              </w:rPr>
              <w:t xml:space="preserve">”, aprobada con Resolución Viceministerial </w:t>
            </w:r>
            <w:proofErr w:type="spellStart"/>
            <w:r w:rsidRPr="7646C508">
              <w:rPr>
                <w:rFonts w:ascii="Calibri" w:eastAsia="Calibri" w:hAnsi="Calibri" w:cs="Times New Roman"/>
                <w:color w:val="000000" w:themeColor="text1"/>
              </w:rPr>
              <w:t>N°</w:t>
            </w:r>
            <w:proofErr w:type="spellEnd"/>
            <w:r>
              <w:t xml:space="preserve"> </w:t>
            </w:r>
            <w:r w:rsidRPr="7646C508">
              <w:rPr>
                <w:rFonts w:ascii="Calibri" w:eastAsia="Calibri" w:hAnsi="Calibri" w:cs="Times New Roman"/>
                <w:color w:val="000000" w:themeColor="text1"/>
              </w:rPr>
              <w:t>019-2023-MINEDU</w:t>
            </w:r>
            <w:r w:rsidR="643DD8AB" w:rsidRPr="7646C508">
              <w:rPr>
                <w:rFonts w:ascii="Calibri" w:eastAsia="Calibri" w:hAnsi="Calibri" w:cs="Times New Roman"/>
                <w:color w:val="000000" w:themeColor="text1"/>
              </w:rPr>
              <w:t>.</w:t>
            </w:r>
          </w:p>
          <w:p w14:paraId="0E820857" w14:textId="04B43721" w:rsidR="00D513A0" w:rsidRDefault="00D513A0" w:rsidP="00062B08">
            <w:pPr>
              <w:jc w:val="both"/>
              <w:rPr>
                <w:rFonts w:ascii="Calibri" w:eastAsia="Calibri" w:hAnsi="Calibri" w:cs="Times New Roman"/>
                <w:color w:val="0563C1"/>
                <w:u w:val="single"/>
                <w:lang w:val="en-US"/>
              </w:rPr>
            </w:pPr>
            <w:r w:rsidRPr="009470F7">
              <w:rPr>
                <w:rFonts w:ascii="Calibri" w:eastAsia="Calibri" w:hAnsi="Calibri" w:cs="Times New Roman"/>
                <w:lang w:val="en-US"/>
              </w:rPr>
              <w:t>L</w:t>
            </w:r>
            <w:r>
              <w:rPr>
                <w:rFonts w:ascii="Calibri" w:eastAsia="Calibri" w:hAnsi="Calibri" w:cs="Times New Roman"/>
                <w:lang w:val="en-US"/>
              </w:rPr>
              <w:t>ink</w:t>
            </w:r>
            <w:r w:rsidR="006E73A1">
              <w:rPr>
                <w:rFonts w:ascii="Calibri" w:eastAsia="Calibri" w:hAnsi="Calibri" w:cs="Times New Roman"/>
                <w:lang w:val="en-US"/>
              </w:rPr>
              <w:t>:</w:t>
            </w:r>
            <w:r w:rsidRPr="009470F7">
              <w:rPr>
                <w:rFonts w:ascii="Calibri" w:eastAsia="Calibri" w:hAnsi="Calibri" w:cs="Times New Roman"/>
                <w:lang w:val="en-US"/>
              </w:rPr>
              <w:t xml:space="preserve">    </w:t>
            </w:r>
            <w:hyperlink r:id="rId12" w:history="1">
              <w:r w:rsidR="006E73A1" w:rsidRPr="006E73A1">
                <w:rPr>
                  <w:rStyle w:val="Hipervnculo"/>
                  <w:rFonts w:ascii="Calibri" w:eastAsia="Calibri" w:hAnsi="Calibri" w:cs="Times New Roman"/>
                  <w:lang w:val="en-US"/>
                </w:rPr>
                <w:t>https://www.gob.pe/institucion/minedu/normas-legales/3862421-019-2023-minedu</w:t>
              </w:r>
            </w:hyperlink>
          </w:p>
          <w:p w14:paraId="7B448341" w14:textId="77777777" w:rsidR="00E43D92" w:rsidRDefault="00E43D92" w:rsidP="00062B08">
            <w:pPr>
              <w:jc w:val="both"/>
              <w:rPr>
                <w:highlight w:val="yellow"/>
                <w:lang w:val="en-AU"/>
              </w:rPr>
            </w:pPr>
          </w:p>
          <w:p w14:paraId="6C52E20E" w14:textId="5E082C38" w:rsidR="001148BB" w:rsidRPr="00291829" w:rsidRDefault="001148BB" w:rsidP="001148BB">
            <w:pPr>
              <w:jc w:val="both"/>
              <w:rPr>
                <w:lang w:val="en-US"/>
              </w:rPr>
            </w:pPr>
            <w:r>
              <w:t>(</w:t>
            </w:r>
            <w:r w:rsidR="00A307BA">
              <w:t>Norma</w:t>
            </w:r>
            <w:r>
              <w:t xml:space="preserve"> </w:t>
            </w:r>
            <w:r w:rsidR="00A307BA">
              <w:t>1</w:t>
            </w:r>
            <w:r>
              <w:t xml:space="preserve">1) Guía de Estrategias de Diseño Bioclimático para el Confort Térmico. </w:t>
            </w:r>
            <w:r w:rsidRPr="00291829">
              <w:rPr>
                <w:lang w:val="en-US"/>
              </w:rPr>
              <w:t>Link: http://www.minedu.gob.pe/p/pdf/guia-de-disenio-bioclimatico.pdf</w:t>
            </w:r>
          </w:p>
          <w:p w14:paraId="2C37497C" w14:textId="77777777" w:rsidR="004351CB" w:rsidRPr="00291829" w:rsidRDefault="004351CB" w:rsidP="004351CB">
            <w:pPr>
              <w:jc w:val="both"/>
              <w:rPr>
                <w:lang w:val="en-US"/>
              </w:rPr>
            </w:pPr>
          </w:p>
          <w:p w14:paraId="7643277B" w14:textId="0397FAD4" w:rsidR="00E43D92" w:rsidRPr="00057AB6" w:rsidRDefault="00E43D92">
            <w:pPr>
              <w:jc w:val="both"/>
            </w:pPr>
            <w:r>
              <w:t>La OPMI del Sector Educación puede identificar como estándar de calidad otras normas que considere pertinentes.</w:t>
            </w:r>
          </w:p>
        </w:tc>
      </w:tr>
    </w:tbl>
    <w:p w14:paraId="2475CD9D" w14:textId="77777777" w:rsidR="00002FFB" w:rsidRPr="00057AB6" w:rsidRDefault="00002FFB" w:rsidP="00062B08">
      <w:pPr>
        <w:spacing w:after="0" w:line="240" w:lineRule="auto"/>
        <w:jc w:val="both"/>
      </w:pPr>
    </w:p>
    <w:sectPr w:rsidR="00002FFB" w:rsidRPr="00057AB6" w:rsidSect="00291829">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7181" w14:textId="77777777" w:rsidR="00B453B7" w:rsidRDefault="00B453B7">
      <w:pPr>
        <w:spacing w:after="0" w:line="240" w:lineRule="auto"/>
      </w:pPr>
      <w:r>
        <w:separator/>
      </w:r>
    </w:p>
  </w:endnote>
  <w:endnote w:type="continuationSeparator" w:id="0">
    <w:p w14:paraId="6DC3C815" w14:textId="77777777" w:rsidR="00B453B7" w:rsidRDefault="00B4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4276" w14:textId="77777777" w:rsidR="00B453B7" w:rsidRDefault="00B453B7">
      <w:pPr>
        <w:spacing w:after="0" w:line="240" w:lineRule="auto"/>
      </w:pPr>
      <w:r>
        <w:separator/>
      </w:r>
    </w:p>
  </w:footnote>
  <w:footnote w:type="continuationSeparator" w:id="0">
    <w:p w14:paraId="772A00F3" w14:textId="77777777" w:rsidR="00B453B7" w:rsidRDefault="00B453B7">
      <w:pPr>
        <w:spacing w:after="0" w:line="240" w:lineRule="auto"/>
      </w:pPr>
      <w:r>
        <w:continuationSeparator/>
      </w:r>
    </w:p>
  </w:footnote>
  <w:footnote w:id="1">
    <w:p w14:paraId="73BBE187" w14:textId="0488D0BB" w:rsidR="7646C508" w:rsidRPr="00062B08" w:rsidRDefault="7646C508" w:rsidP="00062B08">
      <w:pPr>
        <w:pStyle w:val="Textonotapie"/>
        <w:jc w:val="both"/>
        <w:rPr>
          <w:rFonts w:ascii="Calibri" w:eastAsia="Calibri" w:hAnsi="Calibri" w:cs="Calibri"/>
          <w:sz w:val="16"/>
          <w:szCs w:val="16"/>
        </w:rPr>
      </w:pPr>
      <w:r w:rsidRPr="00062B08">
        <w:rPr>
          <w:rStyle w:val="Refdenotaalpie"/>
        </w:rPr>
        <w:footnoteRef/>
      </w:r>
      <w:r w:rsidRPr="00062B08">
        <w:t xml:space="preserve"> L</w:t>
      </w:r>
      <w:r w:rsidRPr="00062B08">
        <w:rPr>
          <w:rFonts w:ascii="Calibri" w:eastAsia="Calibri" w:hAnsi="Calibri" w:cs="Calibri"/>
          <w:sz w:val="16"/>
          <w:szCs w:val="16"/>
        </w:rPr>
        <w:t xml:space="preserve">a Ley </w:t>
      </w:r>
      <w:proofErr w:type="spellStart"/>
      <w:r w:rsidRPr="00062B08">
        <w:rPr>
          <w:rFonts w:ascii="Calibri" w:eastAsia="Calibri" w:hAnsi="Calibri" w:cs="Calibri"/>
          <w:sz w:val="16"/>
          <w:szCs w:val="16"/>
        </w:rPr>
        <w:t>N°</w:t>
      </w:r>
      <w:proofErr w:type="spellEnd"/>
      <w:r w:rsidRPr="00062B08">
        <w:rPr>
          <w:rFonts w:ascii="Calibri" w:eastAsia="Calibri" w:hAnsi="Calibri" w:cs="Calibri"/>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Pr="00062B08">
        <w:rPr>
          <w:rFonts w:ascii="Calibri" w:eastAsia="Calibri" w:hAnsi="Calibri" w:cs="Calibri"/>
          <w:sz w:val="16"/>
          <w:szCs w:val="16"/>
        </w:rPr>
        <w:t>N°</w:t>
      </w:r>
      <w:proofErr w:type="spellEnd"/>
      <w:r w:rsidRPr="00062B08">
        <w:rPr>
          <w:rFonts w:ascii="Calibri" w:eastAsia="Calibri" w:hAnsi="Calibri" w:cs="Calibri"/>
          <w:sz w:val="16"/>
          <w:szCs w:val="16"/>
        </w:rPr>
        <w:t xml:space="preserve"> 003-2020-MINEDU, y la Resolución Viceministerial </w:t>
      </w:r>
      <w:proofErr w:type="spellStart"/>
      <w:r w:rsidRPr="00062B08">
        <w:rPr>
          <w:rFonts w:ascii="Calibri" w:eastAsia="Calibri" w:hAnsi="Calibri" w:cs="Calibri"/>
          <w:sz w:val="16"/>
          <w:szCs w:val="16"/>
        </w:rPr>
        <w:t>N°</w:t>
      </w:r>
      <w:proofErr w:type="spellEnd"/>
      <w:r w:rsidRPr="00062B08">
        <w:rPr>
          <w:rFonts w:ascii="Calibri" w:eastAsia="Calibri" w:hAnsi="Calibri" w:cs="Calibri"/>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p w14:paraId="612394F4" w14:textId="016B2B59" w:rsidR="7646C508" w:rsidRDefault="7646C508" w:rsidP="005D176D">
      <w:pPr>
        <w:spacing w:after="0"/>
        <w:ind w:left="705"/>
        <w:jc w:val="both"/>
        <w:rPr>
          <w:rFonts w:ascii="Arial" w:eastAsia="Arial" w:hAnsi="Arial" w:cs="Arial"/>
          <w:color w:val="D13438"/>
          <w:sz w:val="16"/>
          <w:szCs w:val="16"/>
        </w:rPr>
      </w:pPr>
    </w:p>
    <w:p w14:paraId="3FB707D6" w14:textId="3270195C" w:rsidR="7646C508" w:rsidRDefault="7646C508" w:rsidP="7646C50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2"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0"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7CB50E79"/>
    <w:multiLevelType w:val="hybridMultilevel"/>
    <w:tmpl w:val="C83070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26"/>
  </w:num>
  <w:num w:numId="5">
    <w:abstractNumId w:val="27"/>
  </w:num>
  <w:num w:numId="6">
    <w:abstractNumId w:val="29"/>
  </w:num>
  <w:num w:numId="7">
    <w:abstractNumId w:val="6"/>
  </w:num>
  <w:num w:numId="8">
    <w:abstractNumId w:val="12"/>
  </w:num>
  <w:num w:numId="9">
    <w:abstractNumId w:val="22"/>
  </w:num>
  <w:num w:numId="10">
    <w:abstractNumId w:val="24"/>
  </w:num>
  <w:num w:numId="11">
    <w:abstractNumId w:val="19"/>
  </w:num>
  <w:num w:numId="12">
    <w:abstractNumId w:val="16"/>
  </w:num>
  <w:num w:numId="13">
    <w:abstractNumId w:val="3"/>
  </w:num>
  <w:num w:numId="14">
    <w:abstractNumId w:val="11"/>
  </w:num>
  <w:num w:numId="15">
    <w:abstractNumId w:val="17"/>
  </w:num>
  <w:num w:numId="16">
    <w:abstractNumId w:val="30"/>
  </w:num>
  <w:num w:numId="17">
    <w:abstractNumId w:val="13"/>
  </w:num>
  <w:num w:numId="18">
    <w:abstractNumId w:val="10"/>
  </w:num>
  <w:num w:numId="19">
    <w:abstractNumId w:val="7"/>
  </w:num>
  <w:num w:numId="20">
    <w:abstractNumId w:val="21"/>
  </w:num>
  <w:num w:numId="21">
    <w:abstractNumId w:val="0"/>
  </w:num>
  <w:num w:numId="22">
    <w:abstractNumId w:val="5"/>
  </w:num>
  <w:num w:numId="23">
    <w:abstractNumId w:val="18"/>
  </w:num>
  <w:num w:numId="24">
    <w:abstractNumId w:val="15"/>
  </w:num>
  <w:num w:numId="25">
    <w:abstractNumId w:val="23"/>
  </w:num>
  <w:num w:numId="26">
    <w:abstractNumId w:val="25"/>
  </w:num>
  <w:num w:numId="27">
    <w:abstractNumId w:val="20"/>
  </w:num>
  <w:num w:numId="28">
    <w:abstractNumId w:val="14"/>
  </w:num>
  <w:num w:numId="29">
    <w:abstractNumId w:val="8"/>
  </w:num>
  <w:num w:numId="30">
    <w:abstractNumId w:val="28"/>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47842"/>
    <w:rsid w:val="00057AB6"/>
    <w:rsid w:val="00062B08"/>
    <w:rsid w:val="000773D8"/>
    <w:rsid w:val="00090FE6"/>
    <w:rsid w:val="000955B3"/>
    <w:rsid w:val="000A5860"/>
    <w:rsid w:val="000A6481"/>
    <w:rsid w:val="000B03A0"/>
    <w:rsid w:val="000B75A5"/>
    <w:rsid w:val="000C3C59"/>
    <w:rsid w:val="000E270B"/>
    <w:rsid w:val="000E42A7"/>
    <w:rsid w:val="001148BB"/>
    <w:rsid w:val="00150FBE"/>
    <w:rsid w:val="00155C41"/>
    <w:rsid w:val="00165CC2"/>
    <w:rsid w:val="00167E0B"/>
    <w:rsid w:val="00174F0B"/>
    <w:rsid w:val="00183021"/>
    <w:rsid w:val="00187E7D"/>
    <w:rsid w:val="00190BF5"/>
    <w:rsid w:val="00194821"/>
    <w:rsid w:val="00197F7E"/>
    <w:rsid w:val="001E2098"/>
    <w:rsid w:val="001E4BB5"/>
    <w:rsid w:val="001E7072"/>
    <w:rsid w:val="001F0B5C"/>
    <w:rsid w:val="002078C9"/>
    <w:rsid w:val="00232119"/>
    <w:rsid w:val="00253345"/>
    <w:rsid w:val="00262612"/>
    <w:rsid w:val="002649AA"/>
    <w:rsid w:val="00264B7C"/>
    <w:rsid w:val="0027609D"/>
    <w:rsid w:val="002814AB"/>
    <w:rsid w:val="00290CB2"/>
    <w:rsid w:val="00291829"/>
    <w:rsid w:val="00291FFD"/>
    <w:rsid w:val="002A404E"/>
    <w:rsid w:val="002B2D95"/>
    <w:rsid w:val="002B6CB0"/>
    <w:rsid w:val="002C4DBF"/>
    <w:rsid w:val="002C6492"/>
    <w:rsid w:val="002C6A20"/>
    <w:rsid w:val="002E7BE1"/>
    <w:rsid w:val="00300BF3"/>
    <w:rsid w:val="00303CFE"/>
    <w:rsid w:val="00304A3E"/>
    <w:rsid w:val="003314E6"/>
    <w:rsid w:val="003628A8"/>
    <w:rsid w:val="003648BB"/>
    <w:rsid w:val="00386699"/>
    <w:rsid w:val="00392658"/>
    <w:rsid w:val="003A142E"/>
    <w:rsid w:val="003B181B"/>
    <w:rsid w:val="003B200B"/>
    <w:rsid w:val="003C19E3"/>
    <w:rsid w:val="003F2F71"/>
    <w:rsid w:val="00402C81"/>
    <w:rsid w:val="004049C5"/>
    <w:rsid w:val="00410396"/>
    <w:rsid w:val="00426654"/>
    <w:rsid w:val="004351CB"/>
    <w:rsid w:val="00464349"/>
    <w:rsid w:val="0046466E"/>
    <w:rsid w:val="004739FB"/>
    <w:rsid w:val="00480A6B"/>
    <w:rsid w:val="00490C68"/>
    <w:rsid w:val="00492D32"/>
    <w:rsid w:val="004961A5"/>
    <w:rsid w:val="004B7113"/>
    <w:rsid w:val="004C5E7A"/>
    <w:rsid w:val="00512F25"/>
    <w:rsid w:val="00525E19"/>
    <w:rsid w:val="00526C3B"/>
    <w:rsid w:val="00534073"/>
    <w:rsid w:val="00537A7D"/>
    <w:rsid w:val="00583CDB"/>
    <w:rsid w:val="00594BD7"/>
    <w:rsid w:val="005B4C21"/>
    <w:rsid w:val="005B78A3"/>
    <w:rsid w:val="005C4F7E"/>
    <w:rsid w:val="005C5E74"/>
    <w:rsid w:val="005D176D"/>
    <w:rsid w:val="005D5CAF"/>
    <w:rsid w:val="005D773F"/>
    <w:rsid w:val="005D7D59"/>
    <w:rsid w:val="005E4533"/>
    <w:rsid w:val="005F1A54"/>
    <w:rsid w:val="006077BD"/>
    <w:rsid w:val="006113CA"/>
    <w:rsid w:val="00640C88"/>
    <w:rsid w:val="006425F9"/>
    <w:rsid w:val="00644725"/>
    <w:rsid w:val="00670C6A"/>
    <w:rsid w:val="00680DE7"/>
    <w:rsid w:val="006A7C9F"/>
    <w:rsid w:val="006A7E99"/>
    <w:rsid w:val="006B1C80"/>
    <w:rsid w:val="006B5585"/>
    <w:rsid w:val="006C4DAA"/>
    <w:rsid w:val="006C7A9E"/>
    <w:rsid w:val="006D225B"/>
    <w:rsid w:val="006E4DD1"/>
    <w:rsid w:val="006E73A1"/>
    <w:rsid w:val="00734AEC"/>
    <w:rsid w:val="00744859"/>
    <w:rsid w:val="00753403"/>
    <w:rsid w:val="00773663"/>
    <w:rsid w:val="00791DC7"/>
    <w:rsid w:val="00793CA5"/>
    <w:rsid w:val="007B1437"/>
    <w:rsid w:val="007B70A2"/>
    <w:rsid w:val="007E389A"/>
    <w:rsid w:val="007E5FD8"/>
    <w:rsid w:val="007F2000"/>
    <w:rsid w:val="007F4895"/>
    <w:rsid w:val="007F5C63"/>
    <w:rsid w:val="007F7974"/>
    <w:rsid w:val="00827B5D"/>
    <w:rsid w:val="00834A04"/>
    <w:rsid w:val="00837CB5"/>
    <w:rsid w:val="00886B02"/>
    <w:rsid w:val="008A79A6"/>
    <w:rsid w:val="008B05C9"/>
    <w:rsid w:val="008B4961"/>
    <w:rsid w:val="008C23EC"/>
    <w:rsid w:val="008C42F5"/>
    <w:rsid w:val="008C5E5F"/>
    <w:rsid w:val="008C7C89"/>
    <w:rsid w:val="008D09B1"/>
    <w:rsid w:val="008E2875"/>
    <w:rsid w:val="0090602C"/>
    <w:rsid w:val="00920E7E"/>
    <w:rsid w:val="00922E2C"/>
    <w:rsid w:val="0093701C"/>
    <w:rsid w:val="00945E8A"/>
    <w:rsid w:val="00955BB3"/>
    <w:rsid w:val="0096436A"/>
    <w:rsid w:val="00982367"/>
    <w:rsid w:val="009D0F64"/>
    <w:rsid w:val="009D1003"/>
    <w:rsid w:val="009E268D"/>
    <w:rsid w:val="009F7131"/>
    <w:rsid w:val="00A068DF"/>
    <w:rsid w:val="00A10FCF"/>
    <w:rsid w:val="00A14EC4"/>
    <w:rsid w:val="00A307BA"/>
    <w:rsid w:val="00A30905"/>
    <w:rsid w:val="00A3476B"/>
    <w:rsid w:val="00A458AE"/>
    <w:rsid w:val="00A56825"/>
    <w:rsid w:val="00A61E5A"/>
    <w:rsid w:val="00A67410"/>
    <w:rsid w:val="00A72837"/>
    <w:rsid w:val="00AB7D5C"/>
    <w:rsid w:val="00AC744C"/>
    <w:rsid w:val="00AD52F2"/>
    <w:rsid w:val="00AE2627"/>
    <w:rsid w:val="00AF43B4"/>
    <w:rsid w:val="00AF45A3"/>
    <w:rsid w:val="00B00F05"/>
    <w:rsid w:val="00B04242"/>
    <w:rsid w:val="00B22419"/>
    <w:rsid w:val="00B23F38"/>
    <w:rsid w:val="00B3234C"/>
    <w:rsid w:val="00B43004"/>
    <w:rsid w:val="00B453B7"/>
    <w:rsid w:val="00B479CF"/>
    <w:rsid w:val="00B52927"/>
    <w:rsid w:val="00B72BD7"/>
    <w:rsid w:val="00B808CA"/>
    <w:rsid w:val="00BB18BF"/>
    <w:rsid w:val="00BC17CD"/>
    <w:rsid w:val="00BD154E"/>
    <w:rsid w:val="00BD3628"/>
    <w:rsid w:val="00BF44ED"/>
    <w:rsid w:val="00C02F9F"/>
    <w:rsid w:val="00C04508"/>
    <w:rsid w:val="00C05A2E"/>
    <w:rsid w:val="00C13D44"/>
    <w:rsid w:val="00C17187"/>
    <w:rsid w:val="00C234F5"/>
    <w:rsid w:val="00C23E4E"/>
    <w:rsid w:val="00C97615"/>
    <w:rsid w:val="00CB0129"/>
    <w:rsid w:val="00CB57F1"/>
    <w:rsid w:val="00CD4D39"/>
    <w:rsid w:val="00CD7563"/>
    <w:rsid w:val="00D35A6C"/>
    <w:rsid w:val="00D513A0"/>
    <w:rsid w:val="00D549CC"/>
    <w:rsid w:val="00D650AD"/>
    <w:rsid w:val="00D775EE"/>
    <w:rsid w:val="00D9731F"/>
    <w:rsid w:val="00DC6005"/>
    <w:rsid w:val="00DE6B82"/>
    <w:rsid w:val="00DF0162"/>
    <w:rsid w:val="00DF5C7D"/>
    <w:rsid w:val="00E00CFD"/>
    <w:rsid w:val="00E03A3E"/>
    <w:rsid w:val="00E20F48"/>
    <w:rsid w:val="00E25368"/>
    <w:rsid w:val="00E36D7A"/>
    <w:rsid w:val="00E43D92"/>
    <w:rsid w:val="00E52BBB"/>
    <w:rsid w:val="00E925C2"/>
    <w:rsid w:val="00EA4468"/>
    <w:rsid w:val="00EA5E5C"/>
    <w:rsid w:val="00ED4C8C"/>
    <w:rsid w:val="00EE08C9"/>
    <w:rsid w:val="00EF197B"/>
    <w:rsid w:val="00EF4810"/>
    <w:rsid w:val="00F03076"/>
    <w:rsid w:val="00F04475"/>
    <w:rsid w:val="00F1741C"/>
    <w:rsid w:val="00F2039F"/>
    <w:rsid w:val="00F21B1C"/>
    <w:rsid w:val="00F25337"/>
    <w:rsid w:val="00F2589D"/>
    <w:rsid w:val="00F258A2"/>
    <w:rsid w:val="00F2659A"/>
    <w:rsid w:val="00F44D9F"/>
    <w:rsid w:val="00F504F1"/>
    <w:rsid w:val="00F95B43"/>
    <w:rsid w:val="00FB37BF"/>
    <w:rsid w:val="00FD4E5E"/>
    <w:rsid w:val="00FE7AAF"/>
    <w:rsid w:val="03939648"/>
    <w:rsid w:val="053BEE49"/>
    <w:rsid w:val="054FEF05"/>
    <w:rsid w:val="056CB7CA"/>
    <w:rsid w:val="0580C5C1"/>
    <w:rsid w:val="067DD772"/>
    <w:rsid w:val="07B31F97"/>
    <w:rsid w:val="07F97D9F"/>
    <w:rsid w:val="0CA279C0"/>
    <w:rsid w:val="0E6B9D6C"/>
    <w:rsid w:val="101BB99B"/>
    <w:rsid w:val="132E4EDB"/>
    <w:rsid w:val="135D13B1"/>
    <w:rsid w:val="13C4E60A"/>
    <w:rsid w:val="1501F1E9"/>
    <w:rsid w:val="181286CF"/>
    <w:rsid w:val="194CB70E"/>
    <w:rsid w:val="1CAFC204"/>
    <w:rsid w:val="1D15B24E"/>
    <w:rsid w:val="1E1A4F51"/>
    <w:rsid w:val="1EF40E99"/>
    <w:rsid w:val="2592486E"/>
    <w:rsid w:val="2BB5E058"/>
    <w:rsid w:val="2C0D7462"/>
    <w:rsid w:val="2D3BBE7A"/>
    <w:rsid w:val="2DC8581A"/>
    <w:rsid w:val="2EB7DC4A"/>
    <w:rsid w:val="2FC0520D"/>
    <w:rsid w:val="3349FDD1"/>
    <w:rsid w:val="336525C8"/>
    <w:rsid w:val="362F08FE"/>
    <w:rsid w:val="3656DDCA"/>
    <w:rsid w:val="3BD65C46"/>
    <w:rsid w:val="3D7A06BF"/>
    <w:rsid w:val="3F862D36"/>
    <w:rsid w:val="4456142E"/>
    <w:rsid w:val="44D08545"/>
    <w:rsid w:val="470F444A"/>
    <w:rsid w:val="471B30D3"/>
    <w:rsid w:val="4F2BAFBD"/>
    <w:rsid w:val="5037A45C"/>
    <w:rsid w:val="5068C581"/>
    <w:rsid w:val="515196D2"/>
    <w:rsid w:val="51F8D790"/>
    <w:rsid w:val="53E4153E"/>
    <w:rsid w:val="55263E15"/>
    <w:rsid w:val="59952891"/>
    <w:rsid w:val="5EF517AA"/>
    <w:rsid w:val="5F6A0320"/>
    <w:rsid w:val="5FF0882D"/>
    <w:rsid w:val="60B2868E"/>
    <w:rsid w:val="60C96791"/>
    <w:rsid w:val="63147BB1"/>
    <w:rsid w:val="643DD8AB"/>
    <w:rsid w:val="64B4A0AC"/>
    <w:rsid w:val="659F7088"/>
    <w:rsid w:val="67BD079D"/>
    <w:rsid w:val="69791A20"/>
    <w:rsid w:val="6C732028"/>
    <w:rsid w:val="6DAE57DF"/>
    <w:rsid w:val="6F344A79"/>
    <w:rsid w:val="7008F5E9"/>
    <w:rsid w:val="71484533"/>
    <w:rsid w:val="73F7757A"/>
    <w:rsid w:val="74E8796F"/>
    <w:rsid w:val="7646C508"/>
    <w:rsid w:val="766A2D24"/>
    <w:rsid w:val="779899BB"/>
    <w:rsid w:val="78730186"/>
    <w:rsid w:val="7D4B02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94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customStyle="1" w:styleId="UnresolvedMention1">
    <w:name w:val="Unresolved Mention1"/>
    <w:basedOn w:val="Fuentedeprrafopredeter"/>
    <w:uiPriority w:val="99"/>
    <w:semiHidden/>
    <w:unhideWhenUsed/>
    <w:rsid w:val="00BF44ED"/>
    <w:rPr>
      <w:color w:val="605E5C"/>
      <w:shd w:val="clear" w:color="auto" w:fill="E1DFDD"/>
    </w:rPr>
  </w:style>
  <w:style w:type="character" w:styleId="Textoennegrita">
    <w:name w:val="Strong"/>
    <w:basedOn w:val="Fuentedeprrafopredeter"/>
    <w:uiPriority w:val="22"/>
    <w:qFormat/>
    <w:rsid w:val="008B05C9"/>
    <w:rPr>
      <w:b/>
      <w:bCs/>
    </w:rPr>
  </w:style>
  <w:style w:type="character" w:customStyle="1" w:styleId="Ttulo1Car">
    <w:name w:val="Título 1 Car"/>
    <w:basedOn w:val="Fuentedeprrafopredeter"/>
    <w:link w:val="Ttulo1"/>
    <w:uiPriority w:val="9"/>
    <w:rsid w:val="00194821"/>
    <w:rPr>
      <w:rFonts w:ascii="Times New Roman" w:eastAsia="Times New Roman" w:hAnsi="Times New Roman" w:cs="Times New Roman"/>
      <w:b/>
      <w:bCs/>
      <w:kern w:val="36"/>
      <w:sz w:val="48"/>
      <w:szCs w:val="48"/>
      <w:lang w:eastAsia="es-PE"/>
    </w:rPr>
  </w:style>
  <w:style w:type="character" w:customStyle="1" w:styleId="Mencinsinresolver1">
    <w:name w:val="Mención sin resolver1"/>
    <w:basedOn w:val="Fuentedeprrafopredeter"/>
    <w:uiPriority w:val="99"/>
    <w:semiHidden/>
    <w:unhideWhenUsed/>
    <w:rsid w:val="000B75A5"/>
    <w:rPr>
      <w:color w:val="605E5C"/>
      <w:shd w:val="clear" w:color="auto" w:fill="E1DFDD"/>
    </w:rPr>
  </w:style>
  <w:style w:type="paragraph" w:styleId="NormalWeb">
    <w:name w:val="Normal (Web)"/>
    <w:basedOn w:val="Normal"/>
    <w:uiPriority w:val="99"/>
    <w:unhideWhenUsed/>
    <w:rsid w:val="00A068DF"/>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ley-2">
    <w:name w:val="ley-2"/>
    <w:basedOn w:val="Normal"/>
    <w:rsid w:val="00E36D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0955B3"/>
    <w:pPr>
      <w:spacing w:after="0" w:line="240" w:lineRule="auto"/>
    </w:pPr>
  </w:style>
  <w:style w:type="character" w:styleId="Mencinsinresolver">
    <w:name w:val="Unresolved Mention"/>
    <w:basedOn w:val="Fuentedeprrafopredeter"/>
    <w:uiPriority w:val="99"/>
    <w:semiHidden/>
    <w:unhideWhenUsed/>
    <w:rsid w:val="009D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318">
      <w:bodyDiv w:val="1"/>
      <w:marLeft w:val="0"/>
      <w:marRight w:val="0"/>
      <w:marTop w:val="0"/>
      <w:marBottom w:val="0"/>
      <w:divBdr>
        <w:top w:val="none" w:sz="0" w:space="0" w:color="auto"/>
        <w:left w:val="none" w:sz="0" w:space="0" w:color="auto"/>
        <w:bottom w:val="none" w:sz="0" w:space="0" w:color="auto"/>
        <w:right w:val="none" w:sz="0" w:space="0" w:color="auto"/>
      </w:divBdr>
    </w:div>
    <w:div w:id="666859591">
      <w:bodyDiv w:val="1"/>
      <w:marLeft w:val="0"/>
      <w:marRight w:val="0"/>
      <w:marTop w:val="0"/>
      <w:marBottom w:val="0"/>
      <w:divBdr>
        <w:top w:val="none" w:sz="0" w:space="0" w:color="auto"/>
        <w:left w:val="none" w:sz="0" w:space="0" w:color="auto"/>
        <w:bottom w:val="none" w:sz="0" w:space="0" w:color="auto"/>
        <w:right w:val="none" w:sz="0" w:space="0" w:color="auto"/>
      </w:divBdr>
    </w:div>
    <w:div w:id="1525438986">
      <w:bodyDiv w:val="1"/>
      <w:marLeft w:val="0"/>
      <w:marRight w:val="0"/>
      <w:marTop w:val="0"/>
      <w:marBottom w:val="0"/>
      <w:divBdr>
        <w:top w:val="none" w:sz="0" w:space="0" w:color="auto"/>
        <w:left w:val="none" w:sz="0" w:space="0" w:color="auto"/>
        <w:bottom w:val="none" w:sz="0" w:space="0" w:color="auto"/>
        <w:right w:val="none" w:sz="0" w:space="0" w:color="auto"/>
      </w:divBdr>
    </w:div>
    <w:div w:id="17150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j.minjus.gob.pe/spij-ext-web/#/detallenorma/H848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pe/institucion/minedu/normas-legales/3862421-019-2023-mi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b.pe/p/pdf/rvm-n-054-2021-minedu.pdf" TargetMode="External"/><Relationship Id="rId5" Type="http://schemas.openxmlformats.org/officeDocument/2006/relationships/webSettings" Target="webSettings.xml"/><Relationship Id="rId10" Type="http://schemas.openxmlformats.org/officeDocument/2006/relationships/hyperlink" Target="https://www.minedu.gob.pe/p/app_normatividad.php" TargetMode="External"/><Relationship Id="rId4" Type="http://schemas.openxmlformats.org/officeDocument/2006/relationships/settings" Target="settings.xml"/><Relationship Id="rId9" Type="http://schemas.openxmlformats.org/officeDocument/2006/relationships/hyperlink" Target="http://www.construccion.org/normas/rne2012/rne2006.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54A0-81FD-4045-871E-E69852AF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1618</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10</cp:revision>
  <dcterms:created xsi:type="dcterms:W3CDTF">2024-06-28T17:13:00Z</dcterms:created>
  <dcterms:modified xsi:type="dcterms:W3CDTF">2025-06-30T23:29:00Z</dcterms:modified>
</cp:coreProperties>
</file>