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42CAACCD" w:rsidR="00525E19" w:rsidRPr="00057AB6" w:rsidRDefault="00DA1B60" w:rsidP="00057AB6">
      <w:pPr>
        <w:spacing w:after="0" w:line="240" w:lineRule="auto"/>
      </w:pPr>
      <w:r>
        <w:tab/>
      </w: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4A6122" w:rsidRPr="007F2000" w14:paraId="0BECCDC2" w14:textId="77777777">
        <w:tc>
          <w:tcPr>
            <w:tcW w:w="3539" w:type="dxa"/>
          </w:tcPr>
          <w:p w14:paraId="3E0246CE" w14:textId="77777777" w:rsidR="004A6122" w:rsidRPr="007F2000" w:rsidRDefault="004A6122" w:rsidP="004A6122">
            <w:pPr>
              <w:rPr>
                <w:b/>
              </w:rPr>
            </w:pPr>
            <w:r w:rsidRPr="007F2000">
              <w:rPr>
                <w:b/>
              </w:rPr>
              <w:t>Nombre de la entidad pública:</w:t>
            </w:r>
          </w:p>
        </w:tc>
        <w:tc>
          <w:tcPr>
            <w:tcW w:w="4955" w:type="dxa"/>
          </w:tcPr>
          <w:p w14:paraId="7863136A" w14:textId="06B2F263" w:rsidR="004A6122" w:rsidRPr="007F2000" w:rsidRDefault="004A6122" w:rsidP="004A6122">
            <w:r>
              <w:rPr>
                <w:rFonts w:ascii="Arial" w:hAnsi="Arial" w:cs="Arial"/>
                <w:color w:val="000000"/>
                <w:sz w:val="18"/>
                <w:szCs w:val="18"/>
              </w:rPr>
              <w:t>Ministerio de Educación</w:t>
            </w:r>
          </w:p>
        </w:tc>
      </w:tr>
      <w:tr w:rsidR="004A6122" w:rsidRPr="007F2000" w14:paraId="78C4B0FE" w14:textId="77777777">
        <w:tc>
          <w:tcPr>
            <w:tcW w:w="3539" w:type="dxa"/>
          </w:tcPr>
          <w:p w14:paraId="169E55E2" w14:textId="77777777" w:rsidR="004A6122" w:rsidRPr="007F2000" w:rsidRDefault="004A6122" w:rsidP="004A6122">
            <w:pPr>
              <w:rPr>
                <w:b/>
              </w:rPr>
            </w:pPr>
            <w:r w:rsidRPr="007F2000">
              <w:rPr>
                <w:b/>
              </w:rPr>
              <w:t>Órgano técnico normativo competente:</w:t>
            </w:r>
          </w:p>
        </w:tc>
        <w:tc>
          <w:tcPr>
            <w:tcW w:w="4955" w:type="dxa"/>
          </w:tcPr>
          <w:p w14:paraId="535180BD" w14:textId="1A0974DE" w:rsidR="004A6122" w:rsidRPr="007F2000" w:rsidRDefault="004A6122" w:rsidP="004A6122">
            <w:r>
              <w:rPr>
                <w:rFonts w:ascii="Arial" w:hAnsi="Arial" w:cs="Arial"/>
                <w:color w:val="000000"/>
                <w:sz w:val="18"/>
                <w:szCs w:val="18"/>
              </w:rPr>
              <w:t>Dirección de Normatividad de Infraestructura - DINOR</w:t>
            </w:r>
          </w:p>
        </w:tc>
      </w:tr>
      <w:tr w:rsidR="004A6122" w:rsidRPr="007F2000" w14:paraId="683EEEB7" w14:textId="77777777">
        <w:tc>
          <w:tcPr>
            <w:tcW w:w="3539" w:type="dxa"/>
          </w:tcPr>
          <w:p w14:paraId="5AA4889A" w14:textId="4FC96860" w:rsidR="004A6122" w:rsidRPr="007F2000" w:rsidRDefault="004A6122" w:rsidP="004A6122">
            <w:pPr>
              <w:rPr>
                <w:b/>
              </w:rPr>
            </w:pPr>
            <w:r w:rsidRPr="007F2000">
              <w:rPr>
                <w:b/>
              </w:rPr>
              <w:t>Unidad Orgánica Responsable:</w:t>
            </w:r>
          </w:p>
        </w:tc>
        <w:tc>
          <w:tcPr>
            <w:tcW w:w="4955" w:type="dxa"/>
          </w:tcPr>
          <w:p w14:paraId="75195781" w14:textId="77D52543" w:rsidR="004A6122" w:rsidRPr="007F2000" w:rsidRDefault="004A6122" w:rsidP="004A6122">
            <w:r>
              <w:rPr>
                <w:rFonts w:ascii="Arial" w:hAnsi="Arial" w:cs="Arial"/>
                <w:color w:val="000000"/>
                <w:sz w:val="18"/>
                <w:szCs w:val="18"/>
              </w:rPr>
              <w:t>Dirección de Educación Básica Alternativa</w:t>
            </w:r>
          </w:p>
        </w:tc>
      </w:tr>
      <w:tr w:rsidR="004A6122" w:rsidRPr="007F2000" w14:paraId="4C312602" w14:textId="77777777" w:rsidTr="00A1337B">
        <w:tc>
          <w:tcPr>
            <w:tcW w:w="3539" w:type="dxa"/>
          </w:tcPr>
          <w:p w14:paraId="2CC6F46A" w14:textId="77777777" w:rsidR="004A6122" w:rsidRPr="007F2000" w:rsidRDefault="004A6122" w:rsidP="004A6122">
            <w:pPr>
              <w:rPr>
                <w:b/>
              </w:rPr>
            </w:pPr>
            <w:r w:rsidRPr="007F2000">
              <w:rPr>
                <w:b/>
              </w:rPr>
              <w:t>Sector:</w:t>
            </w:r>
          </w:p>
        </w:tc>
        <w:tc>
          <w:tcPr>
            <w:tcW w:w="4955" w:type="dxa"/>
            <w:vAlign w:val="center"/>
          </w:tcPr>
          <w:p w14:paraId="679B4EF6" w14:textId="345257A2" w:rsidR="004A6122" w:rsidRPr="007F2000" w:rsidRDefault="004A6122" w:rsidP="004A6122">
            <w:r>
              <w:rPr>
                <w:rFonts w:ascii="Arial" w:hAnsi="Arial" w:cs="Arial"/>
                <w:color w:val="000000"/>
                <w:sz w:val="18"/>
                <w:szCs w:val="18"/>
              </w:rPr>
              <w:t>Educación</w:t>
            </w:r>
          </w:p>
        </w:tc>
      </w:tr>
      <w:tr w:rsidR="004A6122" w:rsidRPr="007F2000" w14:paraId="47CE98C0" w14:textId="77777777" w:rsidTr="00A1337B">
        <w:tc>
          <w:tcPr>
            <w:tcW w:w="3539" w:type="dxa"/>
          </w:tcPr>
          <w:p w14:paraId="148BF11F" w14:textId="77777777" w:rsidR="004A6122" w:rsidRPr="007F2000" w:rsidRDefault="004A6122" w:rsidP="004A6122">
            <w:pPr>
              <w:rPr>
                <w:b/>
              </w:rPr>
            </w:pPr>
            <w:r w:rsidRPr="007F2000">
              <w:rPr>
                <w:b/>
              </w:rPr>
              <w:t>Función:</w:t>
            </w:r>
          </w:p>
        </w:tc>
        <w:tc>
          <w:tcPr>
            <w:tcW w:w="4955" w:type="dxa"/>
            <w:vAlign w:val="center"/>
          </w:tcPr>
          <w:p w14:paraId="57ADF64C" w14:textId="55F8B46C" w:rsidR="004A6122" w:rsidRPr="007F2000" w:rsidRDefault="004A6122" w:rsidP="004A6122">
            <w:r>
              <w:rPr>
                <w:rFonts w:ascii="Arial" w:hAnsi="Arial" w:cs="Arial"/>
                <w:color w:val="000000"/>
                <w:sz w:val="18"/>
                <w:szCs w:val="18"/>
              </w:rPr>
              <w:t>22 Educación</w:t>
            </w:r>
          </w:p>
        </w:tc>
      </w:tr>
      <w:tr w:rsidR="004A6122" w:rsidRPr="007F2000" w14:paraId="33B5D58C" w14:textId="77777777" w:rsidTr="00A1337B">
        <w:tc>
          <w:tcPr>
            <w:tcW w:w="3539" w:type="dxa"/>
          </w:tcPr>
          <w:p w14:paraId="5BC6E11B" w14:textId="77777777" w:rsidR="004A6122" w:rsidRPr="007F2000" w:rsidRDefault="004A6122" w:rsidP="004A6122">
            <w:pPr>
              <w:rPr>
                <w:b/>
              </w:rPr>
            </w:pPr>
            <w:r w:rsidRPr="007F2000">
              <w:rPr>
                <w:b/>
              </w:rPr>
              <w:t>División funcional:</w:t>
            </w:r>
          </w:p>
        </w:tc>
        <w:tc>
          <w:tcPr>
            <w:tcW w:w="4955" w:type="dxa"/>
            <w:vAlign w:val="center"/>
          </w:tcPr>
          <w:p w14:paraId="77B69D1A" w14:textId="412E7384" w:rsidR="004A6122" w:rsidRPr="007F2000" w:rsidRDefault="004A6122" w:rsidP="004A6122">
            <w:r>
              <w:rPr>
                <w:rFonts w:ascii="Arial" w:hAnsi="Arial" w:cs="Arial"/>
                <w:color w:val="000000"/>
                <w:sz w:val="18"/>
                <w:szCs w:val="18"/>
              </w:rPr>
              <w:t>047 Educación Básica</w:t>
            </w:r>
          </w:p>
        </w:tc>
      </w:tr>
      <w:tr w:rsidR="004A6122" w:rsidRPr="007F2000" w14:paraId="2521A0EB" w14:textId="77777777" w:rsidTr="00A1337B">
        <w:tc>
          <w:tcPr>
            <w:tcW w:w="3539" w:type="dxa"/>
          </w:tcPr>
          <w:p w14:paraId="61CE334D" w14:textId="77777777" w:rsidR="004A6122" w:rsidRPr="007F2000" w:rsidRDefault="004A6122" w:rsidP="004A6122">
            <w:pPr>
              <w:rPr>
                <w:b/>
              </w:rPr>
            </w:pPr>
            <w:r w:rsidRPr="007F2000">
              <w:rPr>
                <w:b/>
              </w:rPr>
              <w:t xml:space="preserve">Grupo funcional: </w:t>
            </w:r>
          </w:p>
        </w:tc>
        <w:tc>
          <w:tcPr>
            <w:tcW w:w="4955" w:type="dxa"/>
            <w:vAlign w:val="center"/>
          </w:tcPr>
          <w:p w14:paraId="3E92E9D7" w14:textId="2E127874" w:rsidR="004A6122" w:rsidRPr="007F2000" w:rsidRDefault="004A6122" w:rsidP="004A6122">
            <w:r>
              <w:rPr>
                <w:rFonts w:ascii="Arial" w:hAnsi="Arial" w:cs="Arial"/>
                <w:color w:val="000000"/>
                <w:sz w:val="18"/>
                <w:szCs w:val="18"/>
              </w:rPr>
              <w:t>0106 Educación Básica Alternativa</w:t>
            </w:r>
          </w:p>
        </w:tc>
      </w:tr>
      <w:tr w:rsidR="004A6122" w:rsidRPr="007F2000" w14:paraId="3E94C2B7" w14:textId="77777777" w:rsidTr="00A1337B">
        <w:tc>
          <w:tcPr>
            <w:tcW w:w="3539" w:type="dxa"/>
          </w:tcPr>
          <w:p w14:paraId="1627199C" w14:textId="77777777" w:rsidR="004A6122" w:rsidRPr="007F2000" w:rsidRDefault="004A6122" w:rsidP="004A6122">
            <w:pPr>
              <w:rPr>
                <w:b/>
              </w:rPr>
            </w:pPr>
            <w:r w:rsidRPr="007F2000">
              <w:rPr>
                <w:b/>
              </w:rPr>
              <w:t>Servicio asociado:</w:t>
            </w:r>
          </w:p>
        </w:tc>
        <w:tc>
          <w:tcPr>
            <w:tcW w:w="4955" w:type="dxa"/>
            <w:vAlign w:val="center"/>
          </w:tcPr>
          <w:p w14:paraId="750E3F06" w14:textId="15A3CA64" w:rsidR="004A6122" w:rsidRPr="007F2000" w:rsidRDefault="004A6122" w:rsidP="004A6122">
            <w:r>
              <w:rPr>
                <w:rFonts w:ascii="Arial" w:hAnsi="Arial" w:cs="Arial"/>
                <w:color w:val="000000"/>
                <w:sz w:val="18"/>
                <w:szCs w:val="18"/>
              </w:rPr>
              <w:t>Servicio de Educación Básica Alternativa</w:t>
            </w:r>
          </w:p>
        </w:tc>
      </w:tr>
      <w:tr w:rsidR="004A6122" w:rsidRPr="007F2000" w14:paraId="1734AC67" w14:textId="77777777" w:rsidTr="00A1337B">
        <w:tc>
          <w:tcPr>
            <w:tcW w:w="3539" w:type="dxa"/>
          </w:tcPr>
          <w:p w14:paraId="6BFEB1EE" w14:textId="77777777" w:rsidR="004A6122" w:rsidRPr="007F2000" w:rsidRDefault="004A6122" w:rsidP="004A6122">
            <w:pPr>
              <w:rPr>
                <w:b/>
              </w:rPr>
            </w:pPr>
            <w:r w:rsidRPr="007F2000">
              <w:rPr>
                <w:b/>
              </w:rPr>
              <w:t>Tipología de proyecto de inversión:</w:t>
            </w:r>
          </w:p>
        </w:tc>
        <w:tc>
          <w:tcPr>
            <w:tcW w:w="4955" w:type="dxa"/>
            <w:vAlign w:val="center"/>
          </w:tcPr>
          <w:p w14:paraId="24FCF44B" w14:textId="47982669" w:rsidR="004A6122" w:rsidRPr="007F2000" w:rsidRDefault="004A6122" w:rsidP="004A6122">
            <w:pPr>
              <w:tabs>
                <w:tab w:val="left" w:pos="3110"/>
              </w:tabs>
            </w:pPr>
            <w:r>
              <w:rPr>
                <w:rFonts w:ascii="Arial" w:hAnsi="Arial" w:cs="Arial"/>
                <w:color w:val="000000"/>
                <w:sz w:val="18"/>
                <w:szCs w:val="18"/>
              </w:rPr>
              <w:t>Educación Básica Alternativa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770F012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926C89" w14:paraId="5E448942" w14:textId="77777777" w:rsidTr="770F0127">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31EAB">
            <w:pPr>
              <w:contextualSpacing/>
            </w:pPr>
            <w:r w:rsidRPr="007F2000">
              <w:rPr>
                <w:b/>
              </w:rPr>
              <w:t>Descripción</w:t>
            </w:r>
            <w:r w:rsidRPr="007F2000">
              <w:t>:</w:t>
            </w:r>
          </w:p>
          <w:p w14:paraId="11950CE4" w14:textId="77777777" w:rsidR="00002FFB" w:rsidRPr="004A6122" w:rsidRDefault="00002FFB" w:rsidP="00131EAB">
            <w:pPr>
              <w:pStyle w:val="Prrafodelista"/>
              <w:ind w:left="313"/>
              <w:jc w:val="both"/>
            </w:pPr>
          </w:p>
          <w:p w14:paraId="0CC2A541" w14:textId="77777777" w:rsidR="004A6122" w:rsidRPr="004A6122" w:rsidRDefault="004A6122" w:rsidP="00131EAB">
            <w:pPr>
              <w:contextualSpacing/>
              <w:jc w:val="both"/>
              <w:rPr>
                <w:b/>
              </w:rPr>
            </w:pPr>
            <w:r w:rsidRPr="004A6122">
              <w:rPr>
                <w:b/>
              </w:rPr>
              <w:t>Servicio de Educación Básica Alternativa</w:t>
            </w:r>
          </w:p>
          <w:p w14:paraId="224A798B" w14:textId="77777777" w:rsidR="004A6122" w:rsidRPr="004A6122" w:rsidRDefault="004A6122" w:rsidP="00131EAB">
            <w:pPr>
              <w:contextualSpacing/>
              <w:jc w:val="both"/>
            </w:pPr>
          </w:p>
          <w:p w14:paraId="3ED4FB45" w14:textId="31FC30B6" w:rsidR="00411FFF" w:rsidRPr="00B659B3" w:rsidRDefault="00411FFF" w:rsidP="00131EAB">
            <w:pPr>
              <w:pStyle w:val="NormalWeb"/>
              <w:spacing w:before="0" w:beforeAutospacing="0" w:after="0" w:afterAutospacing="0"/>
              <w:contextualSpacing/>
              <w:jc w:val="both"/>
              <w:rPr>
                <w:rFonts w:asciiTheme="minorHAnsi" w:hAnsiTheme="minorHAnsi" w:cstheme="minorHAnsi"/>
                <w:sz w:val="22"/>
                <w:szCs w:val="22"/>
              </w:rPr>
            </w:pPr>
            <w:r w:rsidRPr="0EEA4307">
              <w:rPr>
                <w:rFonts w:asciiTheme="minorHAnsi" w:hAnsiTheme="minorHAnsi" w:cstheme="minorBidi"/>
                <w:i/>
                <w:iCs/>
                <w:sz w:val="22"/>
                <w:szCs w:val="22"/>
              </w:rPr>
              <w:t>“La Educación Básica Alternativa es una modalidad que tiene los mismos objetivos y calidad equivalente a la de la Educación Básica Regular; enfatiza la preparación para el trabajo y el desarrollo de capacidades empresariales. Se organiza flexiblemente en función de las necesidades y demandas específicas de los estudiantes. El ingreso y el tránsito de un grado a otro se harán en función de las competencias que el estudiante haya desarrollado.”</w:t>
            </w:r>
            <w:r w:rsidRPr="0EEA4307">
              <w:rPr>
                <w:rFonts w:asciiTheme="minorHAnsi" w:hAnsiTheme="minorHAnsi" w:cstheme="minorBidi"/>
                <w:sz w:val="22"/>
                <w:szCs w:val="22"/>
              </w:rPr>
              <w:t xml:space="preserve"> (Norma 1)</w:t>
            </w:r>
          </w:p>
          <w:p w14:paraId="424C2CB7" w14:textId="77777777" w:rsidR="00F31064" w:rsidRDefault="00F31064" w:rsidP="00131EAB">
            <w:pPr>
              <w:contextualSpacing/>
              <w:jc w:val="both"/>
              <w:rPr>
                <w:rFonts w:cstheme="minorHAnsi"/>
                <w:i/>
              </w:rPr>
            </w:pPr>
          </w:p>
          <w:p w14:paraId="13862D85" w14:textId="0F1F6401" w:rsidR="004A6122" w:rsidRPr="00181465" w:rsidRDefault="004A6122" w:rsidP="00131EAB">
            <w:pPr>
              <w:contextualSpacing/>
              <w:jc w:val="both"/>
              <w:rPr>
                <w:i/>
              </w:rPr>
            </w:pPr>
            <w:r w:rsidRPr="00B659B3">
              <w:rPr>
                <w:rFonts w:cstheme="minorHAnsi"/>
                <w:i/>
              </w:rPr>
              <w:t>“La Educación Básica Alternativa (EBA) es una modalidad que se desarrolla en el marco del enfoque de la educación a lo largo de toda</w:t>
            </w:r>
            <w:r w:rsidRPr="00181465">
              <w:rPr>
                <w:i/>
              </w:rPr>
              <w:t xml:space="preserve"> la vida. Atiende a jóvenes y adultos, así como adolescentes en extraedad escolar a partir de los 14 años, que compatibilizan estudio y trabajo.</w:t>
            </w:r>
          </w:p>
          <w:p w14:paraId="1D8CF6F9" w14:textId="77777777" w:rsidR="004A6122" w:rsidRPr="00A36081" w:rsidRDefault="004A6122" w:rsidP="00131EAB">
            <w:pPr>
              <w:contextualSpacing/>
              <w:jc w:val="both"/>
            </w:pPr>
          </w:p>
          <w:p w14:paraId="43EB7603" w14:textId="62AE602F" w:rsidR="004A6122" w:rsidRPr="00181465" w:rsidRDefault="004A6122" w:rsidP="00131EAB">
            <w:pPr>
              <w:jc w:val="both"/>
              <w:rPr>
                <w:i/>
              </w:rPr>
            </w:pPr>
            <w:r w:rsidRPr="00181465">
              <w:rPr>
                <w:i/>
              </w:rPr>
              <w:t>Esta modalidad promueve la continuidad educativa de los estudiantes del Programa de Alfabetización y la movilidad de los estudiantes a otras modalidades del sistema educativo.</w:t>
            </w:r>
          </w:p>
          <w:p w14:paraId="3B1B3CD6" w14:textId="77777777" w:rsidR="004A6122" w:rsidRPr="00181465" w:rsidRDefault="004A6122" w:rsidP="00131EAB">
            <w:pPr>
              <w:jc w:val="both"/>
              <w:rPr>
                <w:i/>
              </w:rPr>
            </w:pPr>
          </w:p>
          <w:p w14:paraId="1EF9BF3A" w14:textId="33E0AF82" w:rsidR="004A6122" w:rsidRPr="00A36081" w:rsidRDefault="004A6122" w:rsidP="00131EAB">
            <w:pPr>
              <w:jc w:val="both"/>
            </w:pPr>
            <w:r w:rsidRPr="00181465">
              <w:rPr>
                <w:i/>
              </w:rPr>
              <w:t>Los estudiantes de Educación Básica Alternativa son aquellos que no se insertaron oportunamente en el Sistema Educativo, no pudieron culminar la Educación Básica, requieren compatibilizar el trabajo con el estudio, desean continuar sus estudios después de un proceso de alfabetización o se encuentran en extraedad para la Educación Básica.”</w:t>
            </w:r>
            <w:r w:rsidRPr="00A36081">
              <w:t xml:space="preserve"> (Norma </w:t>
            </w:r>
            <w:r w:rsidR="00411FFF">
              <w:t>2)</w:t>
            </w:r>
            <w:r w:rsidRPr="00A36081">
              <w:t xml:space="preserve"> </w:t>
            </w:r>
          </w:p>
          <w:p w14:paraId="3E49070E" w14:textId="77777777" w:rsidR="00F31064" w:rsidRDefault="00411FFF" w:rsidP="0EEA4307">
            <w:pPr>
              <w:jc w:val="both"/>
              <w:rPr>
                <w:rFonts w:ascii="Arial" w:hAnsi="Arial" w:cs="Arial"/>
                <w:sz w:val="20"/>
                <w:szCs w:val="20"/>
              </w:rPr>
            </w:pPr>
            <w:r w:rsidRPr="1D9BB7E2">
              <w:rPr>
                <w:rFonts w:ascii="Arial" w:hAnsi="Arial" w:cs="Arial"/>
                <w:sz w:val="20"/>
                <w:szCs w:val="20"/>
              </w:rPr>
              <w:t xml:space="preserve"> </w:t>
            </w:r>
          </w:p>
          <w:p w14:paraId="3C48D1DA" w14:textId="5CC9A197" w:rsidR="004A6122" w:rsidRPr="00D46E95" w:rsidRDefault="00333AF9" w:rsidP="0EEA4307">
            <w:pPr>
              <w:jc w:val="both"/>
              <w:rPr>
                <w:i/>
                <w:iCs/>
              </w:rPr>
            </w:pPr>
            <w:r w:rsidRPr="0EEA4307">
              <w:rPr>
                <w:i/>
                <w:iCs/>
              </w:rPr>
              <w:t>“</w:t>
            </w:r>
            <w:r w:rsidR="004A6122" w:rsidRPr="0EEA4307">
              <w:rPr>
                <w:i/>
                <w:iCs/>
              </w:rPr>
              <w:t>La Educación Básica Alternativa se organiza por ciclos: inicial, intermedio y avanzado. Los ciclos y grados de los programas de Educación Básica Alternativa son de duración flexible.</w:t>
            </w:r>
          </w:p>
          <w:p w14:paraId="2F6F7ED9" w14:textId="77777777" w:rsidR="00853023" w:rsidRPr="00D46E95" w:rsidRDefault="00853023" w:rsidP="0EEA4307">
            <w:pPr>
              <w:jc w:val="both"/>
              <w:rPr>
                <w:i/>
                <w:iCs/>
              </w:rPr>
            </w:pPr>
          </w:p>
          <w:p w14:paraId="18CC35FC" w14:textId="3A86EC80" w:rsidR="007F2000" w:rsidRPr="00A36081" w:rsidRDefault="004A6122" w:rsidP="00131EAB">
            <w:pPr>
              <w:jc w:val="both"/>
            </w:pPr>
            <w:r w:rsidRPr="0EEA4307">
              <w:rPr>
                <w:i/>
                <w:iCs/>
              </w:rPr>
              <w:t>La organización por ciclos permite el desarrollo de las competencias. Los ciclos constituyen las principales unidades de la estructura de la modalidad de Educación Básica Alternativa, que una vez concluidos satisfactoriamente dan derecho a una certificación. El logro de los aprendizajes de grado da derecho a una constancia.”</w:t>
            </w:r>
            <w:r>
              <w:t xml:space="preserve"> (Norma </w:t>
            </w:r>
            <w:r w:rsidR="00131EAB">
              <w:t>3</w:t>
            </w:r>
            <w:r>
              <w:t>)</w:t>
            </w:r>
          </w:p>
          <w:p w14:paraId="7AE8DCA7" w14:textId="180E872D" w:rsidR="00EA5E5C" w:rsidRDefault="00EA5E5C" w:rsidP="00F40992">
            <w:pPr>
              <w:jc w:val="both"/>
            </w:pPr>
          </w:p>
          <w:p w14:paraId="107968AF" w14:textId="77777777" w:rsidR="00D80BA9" w:rsidRPr="00A36081" w:rsidRDefault="00D80BA9" w:rsidP="00F40992">
            <w:pPr>
              <w:jc w:val="both"/>
            </w:pPr>
          </w:p>
          <w:p w14:paraId="51AB472C" w14:textId="77777777" w:rsidR="00002FFB" w:rsidRDefault="00F95B43" w:rsidP="00190BF5">
            <w:pPr>
              <w:rPr>
                <w:b/>
              </w:rPr>
            </w:pPr>
            <w:r w:rsidRPr="00A36081">
              <w:rPr>
                <w:b/>
              </w:rPr>
              <w:lastRenderedPageBreak/>
              <w:t>Norma Legal:</w:t>
            </w:r>
          </w:p>
          <w:p w14:paraId="1E10D5E2" w14:textId="2D8B2BEE" w:rsidR="004A6122" w:rsidRPr="00A36081" w:rsidRDefault="004A6122" w:rsidP="00202489">
            <w:pPr>
              <w:jc w:val="both"/>
            </w:pPr>
            <w:r w:rsidRPr="00A36081">
              <w:t>(</w:t>
            </w:r>
            <w:r w:rsidR="007355CF" w:rsidRPr="00A36081">
              <w:t xml:space="preserve">Norma </w:t>
            </w:r>
            <w:r w:rsidRPr="00A36081">
              <w:t xml:space="preserve">1) Artículo 37 de la Ley N° 28044, </w:t>
            </w:r>
            <w:r w:rsidR="00250762">
              <w:t>Ley General de Educación</w:t>
            </w:r>
            <w:r w:rsidR="00411FFF">
              <w:t xml:space="preserve"> y sus modificatorias.</w:t>
            </w:r>
          </w:p>
          <w:p w14:paraId="06EA0384" w14:textId="749D3AE1" w:rsidR="004A6122" w:rsidRPr="00A36081" w:rsidRDefault="004A6122" w:rsidP="004A6122">
            <w:pPr>
              <w:rPr>
                <w:lang w:val="en-AU"/>
              </w:rPr>
            </w:pPr>
            <w:r w:rsidRPr="00A36081">
              <w:rPr>
                <w:lang w:val="en-AU"/>
              </w:rPr>
              <w:t xml:space="preserve">Link: </w:t>
            </w:r>
            <w:hyperlink r:id="rId8" w:history="1">
              <w:r w:rsidR="00B659B3" w:rsidRPr="00F03FEB">
                <w:rPr>
                  <w:rStyle w:val="Hipervnculo"/>
                  <w:lang w:val="en-AU"/>
                </w:rPr>
                <w:t>http://www.minedu.gob.pe/p/ley_general_de_educacion_28044.pdf</w:t>
              </w:r>
            </w:hyperlink>
            <w:r w:rsidR="00B659B3">
              <w:rPr>
                <w:color w:val="0070C0"/>
                <w:lang w:val="en-AU"/>
              </w:rPr>
              <w:t xml:space="preserve"> </w:t>
            </w:r>
          </w:p>
          <w:p w14:paraId="3C6B06EB" w14:textId="5EF81C9A" w:rsidR="004A6122" w:rsidRPr="00A36081" w:rsidRDefault="004A6122" w:rsidP="004A6122">
            <w:pPr>
              <w:rPr>
                <w:lang w:val="en-AU"/>
              </w:rPr>
            </w:pPr>
          </w:p>
          <w:p w14:paraId="70F548E0" w14:textId="6ABDB3B5" w:rsidR="004A6122" w:rsidRPr="00A36081" w:rsidRDefault="004A6122" w:rsidP="00202489">
            <w:pPr>
              <w:jc w:val="both"/>
            </w:pPr>
            <w:r>
              <w:t>(</w:t>
            </w:r>
            <w:r w:rsidR="007355CF">
              <w:t xml:space="preserve">Norma </w:t>
            </w:r>
            <w:r w:rsidR="007008B2">
              <w:t>2</w:t>
            </w:r>
            <w:r>
              <w:t>) Artículo 67 del Reglamento de la Ley Nº 28044</w:t>
            </w:r>
            <w:r w:rsidR="146C5237">
              <w:t>,</w:t>
            </w:r>
            <w:r>
              <w:t xml:space="preserve"> Ley General de Educación, aprobado con D.S. Nº 011-2012-ED</w:t>
            </w:r>
            <w:r w:rsidR="00411FFF">
              <w:t xml:space="preserve"> y sus modificatorias.</w:t>
            </w:r>
          </w:p>
          <w:p w14:paraId="5ED3683E" w14:textId="35A5927D" w:rsidR="004A6122" w:rsidRDefault="004A6122" w:rsidP="004A6122">
            <w:pPr>
              <w:rPr>
                <w:rStyle w:val="Hipervnculo"/>
                <w:lang w:val="en-US"/>
              </w:rPr>
            </w:pPr>
            <w:r w:rsidRPr="00A36081">
              <w:rPr>
                <w:lang w:val="en-AU"/>
              </w:rPr>
              <w:t xml:space="preserve">Link: </w:t>
            </w:r>
            <w:hyperlink r:id="rId9" w:history="1">
              <w:r w:rsidR="00250762" w:rsidRPr="002563A5">
                <w:rPr>
                  <w:rStyle w:val="Hipervnculo"/>
                  <w:lang w:val="en-US"/>
                </w:rPr>
                <w:t>https://www.gob.pe/institucion/minedu/normas-legales/118256-0011-2012-ed</w:t>
              </w:r>
            </w:hyperlink>
          </w:p>
          <w:p w14:paraId="2BF195CF" w14:textId="77777777" w:rsidR="00250762" w:rsidRPr="00A36081" w:rsidRDefault="00250762" w:rsidP="004A6122">
            <w:pPr>
              <w:rPr>
                <w:lang w:val="en-AU"/>
              </w:rPr>
            </w:pPr>
          </w:p>
          <w:p w14:paraId="6F52F1AE" w14:textId="551C92AC" w:rsidR="004A6122" w:rsidRDefault="004A6122" w:rsidP="00202489">
            <w:pPr>
              <w:jc w:val="both"/>
            </w:pPr>
            <w:r>
              <w:t>(</w:t>
            </w:r>
            <w:r w:rsidR="007355CF">
              <w:t xml:space="preserve">Norma </w:t>
            </w:r>
            <w:r w:rsidR="00131EAB">
              <w:t>3</w:t>
            </w:r>
            <w:r>
              <w:t xml:space="preserve">) </w:t>
            </w:r>
            <w:r w:rsidR="00131EAB">
              <w:t xml:space="preserve">Numeral 5.1.3 del </w:t>
            </w:r>
            <w:r>
              <w:t>Currículo Nacional de la Educación Básica aprobado por Resolución Ministerial Nº 281-2016-MINEDU</w:t>
            </w:r>
            <w:r w:rsidR="006179AC">
              <w:t xml:space="preserve"> y su modificatoria</w:t>
            </w:r>
            <w:r>
              <w:t>.</w:t>
            </w:r>
          </w:p>
          <w:p w14:paraId="5C0E9446" w14:textId="4CB011F0" w:rsidR="004A6122" w:rsidRPr="00A36081" w:rsidRDefault="004A6122" w:rsidP="004A6122">
            <w:pPr>
              <w:rPr>
                <w:lang w:val="en-AU"/>
              </w:rPr>
            </w:pPr>
            <w:r w:rsidRPr="0EEA4307">
              <w:rPr>
                <w:lang w:val="en-AU"/>
              </w:rPr>
              <w:t>Link:</w:t>
            </w:r>
            <w:r w:rsidR="00F31064">
              <w:rPr>
                <w:lang w:val="en-AU"/>
              </w:rPr>
              <w:t xml:space="preserve"> </w:t>
            </w:r>
            <w:hyperlink r:id="rId10" w:history="1">
              <w:r w:rsidR="00624F80" w:rsidRPr="002A7743">
                <w:rPr>
                  <w:rStyle w:val="Hipervnculo"/>
                  <w:lang w:val="en-AU"/>
                </w:rPr>
                <w:t>https://minedu.gob.pe/curriculo/pdf/curriculo-nacional-de-la-educacion-basica.pdf</w:t>
              </w:r>
            </w:hyperlink>
            <w:r w:rsidR="00624F80">
              <w:rPr>
                <w:lang w:val="en-AU"/>
              </w:rPr>
              <w:t xml:space="preserve">  </w:t>
            </w:r>
          </w:p>
          <w:p w14:paraId="67C07B3C" w14:textId="4433C4C6" w:rsidR="007F2000" w:rsidRPr="007F2000" w:rsidRDefault="007F2000" w:rsidP="00A852AD">
            <w:pPr>
              <w:rPr>
                <w:lang w:val="en-US"/>
              </w:rPr>
            </w:pPr>
          </w:p>
        </w:tc>
      </w:tr>
      <w:tr w:rsidR="00057AB6" w:rsidRPr="007F2000" w14:paraId="509F030F" w14:textId="77777777" w:rsidTr="770F0127">
        <w:trPr>
          <w:trHeight w:val="260"/>
        </w:trPr>
        <w:tc>
          <w:tcPr>
            <w:tcW w:w="8529" w:type="dxa"/>
            <w:tcBorders>
              <w:left w:val="single" w:sz="4" w:space="0" w:color="auto"/>
            </w:tcBorders>
            <w:shd w:val="clear" w:color="auto" w:fill="000000" w:themeFill="text1"/>
          </w:tcPr>
          <w:p w14:paraId="203FF4CC" w14:textId="666A3151" w:rsidR="00002FFB" w:rsidRPr="007F2000" w:rsidRDefault="00190BF5" w:rsidP="00057AB6">
            <w:r w:rsidRPr="007F2000">
              <w:rPr>
                <w:b/>
              </w:rPr>
              <w:lastRenderedPageBreak/>
              <w:t>Nivel</w:t>
            </w:r>
            <w:r w:rsidR="00F95B43" w:rsidRPr="007F2000">
              <w:rPr>
                <w:b/>
              </w:rPr>
              <w:t xml:space="preserve"> de Servicio</w:t>
            </w:r>
          </w:p>
        </w:tc>
      </w:tr>
      <w:tr w:rsidR="00057AB6" w:rsidRPr="00926C89" w14:paraId="5AFB2F64" w14:textId="77777777" w:rsidTr="009D602B">
        <w:tblPrEx>
          <w:tblCellMar>
            <w:left w:w="70" w:type="dxa"/>
            <w:right w:w="70" w:type="dxa"/>
          </w:tblCellMar>
        </w:tblPrEx>
        <w:trPr>
          <w:trHeight w:val="260"/>
        </w:trPr>
        <w:tc>
          <w:tcPr>
            <w:tcW w:w="8529" w:type="dxa"/>
            <w:tcBorders>
              <w:left w:val="single" w:sz="4" w:space="0" w:color="auto"/>
            </w:tcBorders>
          </w:tcPr>
          <w:p w14:paraId="01BB1C53" w14:textId="5A4DD362" w:rsidR="00EA5E5C" w:rsidRDefault="00EA5E5C" w:rsidP="00190BF5">
            <w:pPr>
              <w:rPr>
                <w:b/>
              </w:rPr>
            </w:pPr>
          </w:p>
          <w:p w14:paraId="7F454531" w14:textId="1DA944A4"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46E8DF09" w14:textId="2645CC80" w:rsidR="00572605" w:rsidRDefault="005C7196" w:rsidP="00572605">
            <w:pPr>
              <w:jc w:val="both"/>
            </w:pPr>
            <w:r>
              <w:t xml:space="preserve">En </w:t>
            </w:r>
            <w:r w:rsidR="00572605">
              <w:t xml:space="preserve">el marco del </w:t>
            </w:r>
            <w:r w:rsidR="004B2B0C">
              <w:t>Sistema Nacional de Programación Multianual y Gestión de Inversiones</w:t>
            </w:r>
            <w:r w:rsidR="008263DD">
              <w:t xml:space="preserve"> (SNPMGI)</w:t>
            </w:r>
            <w:r>
              <w:t xml:space="preserve"> se identificaron los siguientes niveles de servicio para el servicio de Educación Básica Alternativa</w:t>
            </w:r>
            <w:r w:rsidRPr="3FEBE591">
              <w:rPr>
                <w:rStyle w:val="Refdenotaalpie"/>
              </w:rPr>
              <w:footnoteReference w:id="1"/>
            </w:r>
            <w:r w:rsidR="00572605">
              <w:t>:</w:t>
            </w:r>
          </w:p>
          <w:p w14:paraId="0CB885A8" w14:textId="77777777" w:rsidR="008824A4" w:rsidRDefault="008824A4" w:rsidP="00572605">
            <w:pPr>
              <w:jc w:val="both"/>
            </w:pPr>
          </w:p>
          <w:p w14:paraId="41AC766B" w14:textId="6178CA35" w:rsidR="00572605" w:rsidRPr="00B2183E" w:rsidDel="001C37C8" w:rsidRDefault="00572605" w:rsidP="00C7197C">
            <w:pPr>
              <w:ind w:left="1416" w:hanging="708"/>
              <w:jc w:val="both"/>
            </w:pPr>
            <w:r>
              <w:t>i. Ciclo inicial</w:t>
            </w:r>
            <w:r w:rsidR="79F89FED">
              <w:t>,</w:t>
            </w:r>
            <w:r>
              <w:t xml:space="preserve"> </w:t>
            </w:r>
          </w:p>
          <w:p w14:paraId="03853606" w14:textId="56DBC658" w:rsidR="00572605" w:rsidRPr="00B2183E" w:rsidDel="001C37C8" w:rsidRDefault="6238D0D1" w:rsidP="00C7197C">
            <w:pPr>
              <w:ind w:left="1416" w:hanging="708"/>
              <w:jc w:val="both"/>
            </w:pPr>
            <w:r>
              <w:t>i</w:t>
            </w:r>
            <w:r w:rsidR="5D42C831">
              <w:t xml:space="preserve">i. Ciclo </w:t>
            </w:r>
            <w:r w:rsidR="00572605">
              <w:t>Intermedio</w:t>
            </w:r>
            <w:r w:rsidR="22F0FF40">
              <w:t>, y</w:t>
            </w:r>
            <w:r w:rsidR="00572605">
              <w:t xml:space="preserve"> </w:t>
            </w:r>
          </w:p>
          <w:p w14:paraId="58D20A41" w14:textId="19FD106A" w:rsidR="00572605" w:rsidRPr="00B2183E" w:rsidDel="001C37C8" w:rsidRDefault="00572605" w:rsidP="00B2183E">
            <w:pPr>
              <w:ind w:left="708"/>
              <w:jc w:val="both"/>
            </w:pPr>
            <w:r>
              <w:t>ii</w:t>
            </w:r>
            <w:r w:rsidR="00297F00">
              <w:t>i</w:t>
            </w:r>
            <w:r>
              <w:t>. Ciclo avanzado de Educación Básica Alternativa</w:t>
            </w:r>
          </w:p>
          <w:p w14:paraId="0CE055C7" w14:textId="02FE2C84" w:rsidR="00572605" w:rsidRPr="00572605" w:rsidDel="001C37C8" w:rsidRDefault="00572605" w:rsidP="00572605">
            <w:pPr>
              <w:jc w:val="both"/>
            </w:pPr>
          </w:p>
          <w:p w14:paraId="154777EE" w14:textId="0581ABB0" w:rsidR="00572605" w:rsidRPr="00572605" w:rsidDel="001C37C8" w:rsidRDefault="0CF5D27E" w:rsidP="00572605">
            <w:pPr>
              <w:jc w:val="both"/>
            </w:pPr>
            <w:r>
              <w:t xml:space="preserve">Dichos </w:t>
            </w:r>
            <w:r w:rsidR="00572605">
              <w:t>niveles de servicio de la Educación Básica Alternativa</w:t>
            </w:r>
            <w:r w:rsidR="0015200A">
              <w:t xml:space="preserve"> (i</w:t>
            </w:r>
            <w:r w:rsidR="504167A7">
              <w:t>, ii</w:t>
            </w:r>
            <w:r w:rsidR="0015200A">
              <w:t xml:space="preserve"> y ii</w:t>
            </w:r>
            <w:r w:rsidR="61B08663">
              <w:t>i</w:t>
            </w:r>
            <w:r w:rsidR="0015200A">
              <w:t>)</w:t>
            </w:r>
            <w:r w:rsidR="00572605">
              <w:t xml:space="preserve"> tienen su equivalente </w:t>
            </w:r>
            <w:r w:rsidR="00853023">
              <w:t>en</w:t>
            </w:r>
            <w:r w:rsidR="00572605">
              <w:t xml:space="preserve"> la Educación Primaria y Secundaria según el siguiente cuadro (Norma </w:t>
            </w:r>
            <w:r w:rsidR="00C7197C">
              <w:t>4</w:t>
            </w:r>
            <w:r w:rsidR="00572605">
              <w:t>):</w:t>
            </w:r>
          </w:p>
          <w:p w14:paraId="6CBB6782" w14:textId="3B820D88" w:rsidR="00572605" w:rsidRPr="00572605" w:rsidDel="001C37C8" w:rsidRDefault="00572605" w:rsidP="00572605">
            <w:pPr>
              <w:jc w:val="both"/>
            </w:pPr>
          </w:p>
          <w:tbl>
            <w:tblPr>
              <w:tblW w:w="8340" w:type="dxa"/>
              <w:tblLayout w:type="fixed"/>
              <w:tblCellMar>
                <w:left w:w="0" w:type="dxa"/>
                <w:right w:w="0" w:type="dxa"/>
              </w:tblCellMar>
              <w:tblLook w:val="04A0" w:firstRow="1" w:lastRow="0" w:firstColumn="1" w:lastColumn="0" w:noHBand="0" w:noVBand="1"/>
            </w:tblPr>
            <w:tblGrid>
              <w:gridCol w:w="940"/>
              <w:gridCol w:w="680"/>
              <w:gridCol w:w="680"/>
              <w:gridCol w:w="682"/>
              <w:gridCol w:w="679"/>
              <w:gridCol w:w="679"/>
              <w:gridCol w:w="1000"/>
              <w:gridCol w:w="1000"/>
              <w:gridCol w:w="1000"/>
              <w:gridCol w:w="1000"/>
            </w:tblGrid>
            <w:tr w:rsidR="009D602B" w14:paraId="63C92177" w14:textId="77777777" w:rsidTr="009D602B">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6A39F" w14:textId="77777777" w:rsidR="009D602B" w:rsidRPr="00E30530" w:rsidRDefault="009D602B" w:rsidP="009D602B">
                  <w:pPr>
                    <w:rPr>
                      <w:rFonts w:cstheme="minorHAnsi"/>
                      <w:b/>
                      <w:bCs/>
                      <w:color w:val="000000"/>
                    </w:rPr>
                  </w:pPr>
                  <w:r w:rsidRPr="00E30530">
                    <w:rPr>
                      <w:rFonts w:cstheme="minorHAnsi"/>
                      <w:b/>
                      <w:bCs/>
                      <w:color w:val="000000"/>
                    </w:rPr>
                    <w:t>Ciclo</w:t>
                  </w:r>
                </w:p>
              </w:tc>
              <w:tc>
                <w:tcPr>
                  <w:tcW w:w="13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5FE426" w14:textId="77777777" w:rsidR="009D602B" w:rsidRPr="00E30530" w:rsidRDefault="009D602B" w:rsidP="009D602B">
                  <w:pPr>
                    <w:jc w:val="center"/>
                    <w:rPr>
                      <w:rFonts w:cstheme="minorHAnsi"/>
                      <w:b/>
                      <w:bCs/>
                      <w:color w:val="000000"/>
                    </w:rPr>
                  </w:pPr>
                  <w:r w:rsidRPr="00E30530">
                    <w:rPr>
                      <w:rFonts w:cstheme="minorHAnsi"/>
                      <w:b/>
                      <w:bCs/>
                      <w:color w:val="000000"/>
                    </w:rPr>
                    <w:t>Inicial</w:t>
                  </w:r>
                </w:p>
              </w:tc>
              <w:tc>
                <w:tcPr>
                  <w:tcW w:w="204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C07A64" w14:textId="77777777" w:rsidR="009D602B" w:rsidRPr="00E30530" w:rsidRDefault="009D602B" w:rsidP="009D602B">
                  <w:pPr>
                    <w:jc w:val="center"/>
                    <w:rPr>
                      <w:rFonts w:cstheme="minorHAnsi"/>
                      <w:b/>
                      <w:bCs/>
                      <w:color w:val="000000"/>
                    </w:rPr>
                  </w:pPr>
                  <w:r w:rsidRPr="00E30530">
                    <w:rPr>
                      <w:rFonts w:cstheme="minorHAnsi"/>
                      <w:b/>
                      <w:bCs/>
                      <w:color w:val="000000"/>
                    </w:rPr>
                    <w:t>Intermedio</w:t>
                  </w:r>
                </w:p>
              </w:tc>
              <w:tc>
                <w:tcPr>
                  <w:tcW w:w="4000"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44072" w14:textId="77777777" w:rsidR="009D602B" w:rsidRPr="00E30530" w:rsidRDefault="009D602B" w:rsidP="009D602B">
                  <w:pPr>
                    <w:jc w:val="center"/>
                    <w:rPr>
                      <w:rFonts w:cstheme="minorHAnsi"/>
                      <w:b/>
                      <w:bCs/>
                      <w:color w:val="000000"/>
                    </w:rPr>
                  </w:pPr>
                  <w:r w:rsidRPr="00E30530">
                    <w:rPr>
                      <w:rFonts w:cstheme="minorHAnsi"/>
                      <w:b/>
                      <w:bCs/>
                      <w:color w:val="000000"/>
                    </w:rPr>
                    <w:t>Avanzado</w:t>
                  </w:r>
                </w:p>
              </w:tc>
            </w:tr>
            <w:tr w:rsidR="009D602B" w14:paraId="490DF85E" w14:textId="77777777" w:rsidTr="009D602B">
              <w:trPr>
                <w:trHeight w:val="285"/>
              </w:trPr>
              <w:tc>
                <w:tcPr>
                  <w:tcW w:w="9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5BA15" w14:textId="77777777" w:rsidR="009D602B" w:rsidRPr="00E30530" w:rsidRDefault="009D602B" w:rsidP="009D602B">
                  <w:pPr>
                    <w:rPr>
                      <w:rFonts w:cstheme="minorHAnsi"/>
                      <w:color w:val="000000"/>
                    </w:rPr>
                  </w:pPr>
                  <w:r w:rsidRPr="00E30530">
                    <w:rPr>
                      <w:rFonts w:cstheme="minorHAnsi"/>
                      <w:color w:val="000000"/>
                    </w:rPr>
                    <w:t>Grados</w:t>
                  </w:r>
                </w:p>
              </w:tc>
              <w:tc>
                <w:tcPr>
                  <w:tcW w:w="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08806" w14:textId="77777777" w:rsidR="009D602B" w:rsidRPr="00E30530" w:rsidRDefault="009D602B" w:rsidP="009D602B">
                  <w:pPr>
                    <w:jc w:val="center"/>
                    <w:rPr>
                      <w:rFonts w:cstheme="minorHAnsi"/>
                      <w:color w:val="000000"/>
                    </w:rPr>
                  </w:pPr>
                  <w:r w:rsidRPr="00E30530">
                    <w:rPr>
                      <w:rFonts w:cstheme="minorHAnsi"/>
                      <w:color w:val="000000"/>
                    </w:rPr>
                    <w:t>1º</w:t>
                  </w:r>
                </w:p>
              </w:tc>
              <w:tc>
                <w:tcPr>
                  <w:tcW w:w="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F4A90" w14:textId="77777777" w:rsidR="009D602B" w:rsidRPr="00E30530" w:rsidRDefault="009D602B" w:rsidP="009D602B">
                  <w:pPr>
                    <w:jc w:val="center"/>
                    <w:rPr>
                      <w:rFonts w:cstheme="minorHAnsi"/>
                      <w:color w:val="000000"/>
                    </w:rPr>
                  </w:pPr>
                  <w:r w:rsidRPr="00E30530">
                    <w:rPr>
                      <w:rFonts w:cstheme="minorHAnsi"/>
                      <w:color w:val="000000"/>
                    </w:rPr>
                    <w:t>2º</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C3DDE" w14:textId="77777777" w:rsidR="009D602B" w:rsidRPr="00E30530" w:rsidRDefault="009D602B" w:rsidP="009D602B">
                  <w:pPr>
                    <w:jc w:val="center"/>
                    <w:rPr>
                      <w:rFonts w:cstheme="minorHAnsi"/>
                      <w:color w:val="000000"/>
                    </w:rPr>
                  </w:pPr>
                  <w:r w:rsidRPr="00E30530">
                    <w:rPr>
                      <w:rFonts w:cstheme="minorHAnsi"/>
                      <w:color w:val="000000"/>
                    </w:rPr>
                    <w:t>1º</w:t>
                  </w:r>
                </w:p>
              </w:tc>
              <w:tc>
                <w:tcPr>
                  <w:tcW w:w="6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E5966" w14:textId="77777777" w:rsidR="009D602B" w:rsidRPr="00E30530" w:rsidRDefault="009D602B" w:rsidP="009D602B">
                  <w:pPr>
                    <w:jc w:val="center"/>
                    <w:rPr>
                      <w:rFonts w:cstheme="minorHAnsi"/>
                      <w:color w:val="000000"/>
                    </w:rPr>
                  </w:pPr>
                  <w:r w:rsidRPr="00E30530">
                    <w:rPr>
                      <w:rFonts w:cstheme="minorHAnsi"/>
                      <w:color w:val="000000"/>
                    </w:rPr>
                    <w:t>2º</w:t>
                  </w:r>
                </w:p>
              </w:tc>
              <w:tc>
                <w:tcPr>
                  <w:tcW w:w="6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8592C" w14:textId="77777777" w:rsidR="009D602B" w:rsidRPr="00E30530" w:rsidRDefault="009D602B" w:rsidP="009D602B">
                  <w:pPr>
                    <w:jc w:val="center"/>
                    <w:rPr>
                      <w:rFonts w:cstheme="minorHAnsi"/>
                      <w:color w:val="000000"/>
                    </w:rPr>
                  </w:pPr>
                  <w:r w:rsidRPr="00E30530">
                    <w:rPr>
                      <w:rFonts w:cstheme="minorHAnsi"/>
                      <w:color w:val="000000"/>
                    </w:rPr>
                    <w:t>3º</w:t>
                  </w:r>
                </w:p>
              </w:tc>
              <w:tc>
                <w:tcPr>
                  <w:tcW w:w="1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1D2E3" w14:textId="77777777" w:rsidR="009D602B" w:rsidRPr="00E30530" w:rsidRDefault="009D602B" w:rsidP="009D602B">
                  <w:pPr>
                    <w:jc w:val="center"/>
                    <w:rPr>
                      <w:rFonts w:cstheme="minorHAnsi"/>
                      <w:color w:val="000000"/>
                    </w:rPr>
                  </w:pPr>
                  <w:r w:rsidRPr="00E30530">
                    <w:rPr>
                      <w:rFonts w:cstheme="minorHAnsi"/>
                      <w:color w:val="000000"/>
                    </w:rPr>
                    <w:t>1º</w:t>
                  </w:r>
                </w:p>
              </w:tc>
              <w:tc>
                <w:tcPr>
                  <w:tcW w:w="1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42981" w14:textId="77777777" w:rsidR="009D602B" w:rsidRPr="00E30530" w:rsidRDefault="009D602B" w:rsidP="009D602B">
                  <w:pPr>
                    <w:jc w:val="center"/>
                    <w:rPr>
                      <w:rFonts w:cstheme="minorHAnsi"/>
                      <w:color w:val="000000"/>
                    </w:rPr>
                  </w:pPr>
                  <w:r w:rsidRPr="00E30530">
                    <w:rPr>
                      <w:rFonts w:cstheme="minorHAnsi"/>
                      <w:color w:val="000000"/>
                    </w:rPr>
                    <w:t>2º</w:t>
                  </w:r>
                </w:p>
              </w:tc>
              <w:tc>
                <w:tcPr>
                  <w:tcW w:w="1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907F1" w14:textId="77777777" w:rsidR="009D602B" w:rsidRPr="00E30530" w:rsidRDefault="009D602B" w:rsidP="009D602B">
                  <w:pPr>
                    <w:jc w:val="center"/>
                    <w:rPr>
                      <w:rFonts w:cstheme="minorHAnsi"/>
                      <w:color w:val="000000"/>
                    </w:rPr>
                  </w:pPr>
                  <w:r w:rsidRPr="00E30530">
                    <w:rPr>
                      <w:rFonts w:cstheme="minorHAnsi"/>
                      <w:color w:val="000000"/>
                    </w:rPr>
                    <w:t>3º</w:t>
                  </w:r>
                </w:p>
              </w:tc>
              <w:tc>
                <w:tcPr>
                  <w:tcW w:w="1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2665F" w14:textId="77777777" w:rsidR="009D602B" w:rsidRPr="00E30530" w:rsidRDefault="009D602B" w:rsidP="009D602B">
                  <w:pPr>
                    <w:jc w:val="center"/>
                    <w:rPr>
                      <w:rFonts w:cstheme="minorHAnsi"/>
                      <w:color w:val="000000"/>
                    </w:rPr>
                  </w:pPr>
                  <w:r w:rsidRPr="00E30530">
                    <w:rPr>
                      <w:rFonts w:cstheme="minorHAnsi"/>
                      <w:color w:val="000000"/>
                    </w:rPr>
                    <w:t>4º</w:t>
                  </w:r>
                </w:p>
              </w:tc>
            </w:tr>
            <w:tr w:rsidR="009D602B" w14:paraId="6AF25C92" w14:textId="77777777" w:rsidTr="009D602B">
              <w:trPr>
                <w:trHeight w:val="285"/>
              </w:trPr>
              <w:tc>
                <w:tcPr>
                  <w:tcW w:w="9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E0E48" w14:textId="77777777" w:rsidR="009D602B" w:rsidRPr="00E30530" w:rsidRDefault="009D602B" w:rsidP="009D602B">
                  <w:pPr>
                    <w:rPr>
                      <w:rFonts w:cstheme="minorHAnsi"/>
                      <w:color w:val="000000"/>
                    </w:rPr>
                  </w:pPr>
                  <w:r w:rsidRPr="00E30530">
                    <w:rPr>
                      <w:rFonts w:cstheme="minorHAnsi"/>
                      <w:color w:val="000000"/>
                    </w:rPr>
                    <w:t> </w:t>
                  </w:r>
                </w:p>
              </w:tc>
              <w:tc>
                <w:tcPr>
                  <w:tcW w:w="340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6BBB8" w14:textId="77777777" w:rsidR="009D602B" w:rsidRPr="00E30530" w:rsidRDefault="009D602B" w:rsidP="009D602B">
                  <w:pPr>
                    <w:jc w:val="center"/>
                    <w:rPr>
                      <w:rFonts w:cstheme="minorHAnsi"/>
                      <w:color w:val="000000"/>
                    </w:rPr>
                  </w:pPr>
                  <w:r w:rsidRPr="00E30530">
                    <w:rPr>
                      <w:rFonts w:cstheme="minorHAnsi"/>
                      <w:color w:val="000000"/>
                    </w:rPr>
                    <w:t>Equivalente a Educación Primaria</w:t>
                  </w:r>
                </w:p>
              </w:tc>
              <w:tc>
                <w:tcPr>
                  <w:tcW w:w="4000"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C5A55" w14:textId="77777777" w:rsidR="009D602B" w:rsidRPr="00E30530" w:rsidRDefault="009D602B" w:rsidP="009D602B">
                  <w:pPr>
                    <w:jc w:val="center"/>
                    <w:rPr>
                      <w:rFonts w:cstheme="minorHAnsi"/>
                      <w:color w:val="000000"/>
                    </w:rPr>
                  </w:pPr>
                  <w:r w:rsidRPr="00E30530">
                    <w:rPr>
                      <w:rFonts w:cstheme="minorHAnsi"/>
                      <w:color w:val="000000"/>
                    </w:rPr>
                    <w:t>Equivalente a Educación Secundaria</w:t>
                  </w:r>
                </w:p>
              </w:tc>
            </w:tr>
          </w:tbl>
          <w:p w14:paraId="7E8092DA" w14:textId="2907CE4D" w:rsidR="009D602B" w:rsidRDefault="009D602B" w:rsidP="1D9BB7E2">
            <w:pPr>
              <w:jc w:val="both"/>
            </w:pPr>
            <w:r w:rsidDel="009D602B">
              <w:rPr>
                <w:noProof/>
              </w:rPr>
              <w:t xml:space="preserve"> </w:t>
            </w:r>
          </w:p>
          <w:p w14:paraId="3216EF06" w14:textId="164C0C4D" w:rsidR="00572605" w:rsidRPr="00F31064" w:rsidDel="001C37C8" w:rsidRDefault="2E6A8054" w:rsidP="1D9BB7E2">
            <w:pPr>
              <w:jc w:val="both"/>
            </w:pPr>
            <w:r w:rsidRPr="1D9BB7E2">
              <w:t>"</w:t>
            </w:r>
            <w:r w:rsidR="00572605" w:rsidRPr="00F31064">
              <w:t xml:space="preserve">El Centro de Educación Básica Alternativa </w:t>
            </w:r>
            <w:r w:rsidR="2754B72B" w:rsidRPr="00F31064">
              <w:t>(CEBA)</w:t>
            </w:r>
            <w:r w:rsidR="00572605" w:rsidRPr="1D9BB7E2">
              <w:rPr>
                <w:rStyle w:val="Refdenotaalpie"/>
              </w:rPr>
              <w:footnoteReference w:id="2"/>
            </w:r>
            <w:r w:rsidR="2754B72B" w:rsidRPr="00F31064">
              <w:t xml:space="preserve"> </w:t>
            </w:r>
            <w:r w:rsidR="00572605" w:rsidRPr="00F31064">
              <w:t>se organiza mediante las siguientes formas de atención:</w:t>
            </w:r>
          </w:p>
          <w:p w14:paraId="34DC7EF0" w14:textId="55CCF63A" w:rsidR="00572605" w:rsidRPr="00F31064" w:rsidDel="001C37C8" w:rsidRDefault="00572605" w:rsidP="0EEA4307">
            <w:pPr>
              <w:jc w:val="both"/>
            </w:pPr>
          </w:p>
          <w:p w14:paraId="09FE9B27" w14:textId="5F1B1807" w:rsidR="00572605" w:rsidRPr="00F31064" w:rsidDel="001C37C8" w:rsidRDefault="00572605" w:rsidP="0EEA4307">
            <w:pPr>
              <w:jc w:val="both"/>
            </w:pPr>
            <w:r w:rsidRPr="00F31064">
              <w:t>a) Presencial, que requiere de la concurrencia simultánea de estudiantes y docentes, en horarios y periodos establecidos.</w:t>
            </w:r>
          </w:p>
          <w:p w14:paraId="0792D21B" w14:textId="2D75BC6E" w:rsidR="00572605" w:rsidRPr="00F31064" w:rsidDel="001C37C8" w:rsidRDefault="00572605" w:rsidP="0EEA4307">
            <w:pPr>
              <w:jc w:val="both"/>
            </w:pPr>
          </w:p>
          <w:p w14:paraId="26930C5C" w14:textId="2E861FFA" w:rsidR="00572605" w:rsidRPr="00F31064" w:rsidDel="001C37C8" w:rsidRDefault="00572605" w:rsidP="0EEA4307">
            <w:pPr>
              <w:jc w:val="both"/>
            </w:pPr>
            <w:r w:rsidRPr="00F31064">
              <w:t>b) Semipresencial, que demanda la asistencia eventual de estudiantes para recibir asesoría de los docentes de acuerdo con sus requerimientos.</w:t>
            </w:r>
          </w:p>
          <w:p w14:paraId="724DE1E3" w14:textId="6A8584D2" w:rsidR="00572605" w:rsidRPr="00F31064" w:rsidDel="001C37C8" w:rsidRDefault="00572605" w:rsidP="0EEA4307">
            <w:pPr>
              <w:jc w:val="both"/>
            </w:pPr>
          </w:p>
          <w:p w14:paraId="30DFB1B5" w14:textId="445A5B37" w:rsidR="00572605" w:rsidRPr="00F31064" w:rsidDel="001C37C8" w:rsidRDefault="00572605" w:rsidP="0EEA4307">
            <w:pPr>
              <w:jc w:val="both"/>
            </w:pPr>
            <w:r w:rsidRPr="00F31064">
              <w:lastRenderedPageBreak/>
              <w:t>c) A distancia, que utiliza medios electrónicos y/o digitales, impresos o no, que intermedian al proceso educativo, según normas específicas, aprobadas por el Ministerio de Educación.</w:t>
            </w:r>
          </w:p>
          <w:p w14:paraId="10B14A7E" w14:textId="77777777" w:rsidR="00572605" w:rsidRPr="00F31064" w:rsidRDefault="00572605" w:rsidP="0EEA4307">
            <w:pPr>
              <w:jc w:val="both"/>
            </w:pPr>
          </w:p>
          <w:p w14:paraId="7C83802A" w14:textId="411E2860" w:rsidR="00572605" w:rsidRPr="00F31064" w:rsidDel="00051DDF" w:rsidRDefault="00572605" w:rsidP="0EEA4307">
            <w:pPr>
              <w:jc w:val="both"/>
            </w:pPr>
            <w:r w:rsidRPr="00F31064">
              <w:t>Los programas de Educación Básica Alternativa atienden las demandas, características, necesidades y diversidad de los estudiantes de la modalidad, y son:</w:t>
            </w:r>
          </w:p>
          <w:p w14:paraId="5BD8B488" w14:textId="3CFFC5D7" w:rsidR="00572605" w:rsidRPr="00F31064" w:rsidDel="00051DDF" w:rsidRDefault="00572605" w:rsidP="0EEA4307">
            <w:pPr>
              <w:jc w:val="both"/>
            </w:pPr>
          </w:p>
          <w:p w14:paraId="2392A731" w14:textId="5C8A4FEA" w:rsidR="00572605" w:rsidRPr="00F31064" w:rsidDel="00051DDF" w:rsidRDefault="00572605" w:rsidP="0EEA4307">
            <w:pPr>
              <w:jc w:val="both"/>
            </w:pPr>
            <w:r w:rsidRPr="00F31064">
              <w:t>a) Programa de Educación Básica Alternativa de Jóvenes y Adultos (PEBAJA)</w:t>
            </w:r>
          </w:p>
          <w:p w14:paraId="4C24B7D9" w14:textId="66F1D0E9" w:rsidR="00572605" w:rsidRPr="00A36081" w:rsidDel="00051DDF" w:rsidRDefault="00572605" w:rsidP="1D9BB7E2">
            <w:pPr>
              <w:jc w:val="both"/>
            </w:pPr>
            <w:r w:rsidRPr="00F31064">
              <w:t>b) Programa de Alfabetización</w:t>
            </w:r>
            <w:r w:rsidR="7A3BDE44" w:rsidRPr="1D9BB7E2">
              <w:t>.</w:t>
            </w:r>
            <w:r w:rsidR="17E0E66D" w:rsidRPr="1D9BB7E2">
              <w:t>”</w:t>
            </w:r>
            <w:r w:rsidRPr="1D9BB7E2">
              <w:t xml:space="preserve"> (Norma </w:t>
            </w:r>
            <w:r w:rsidR="006C79CD" w:rsidRPr="1D9BB7E2">
              <w:t>5</w:t>
            </w:r>
            <w:r w:rsidRPr="1D9BB7E2">
              <w:t>)</w:t>
            </w:r>
          </w:p>
          <w:p w14:paraId="5599AEEE" w14:textId="77777777" w:rsidR="00315E20" w:rsidRDefault="00315E20" w:rsidP="00190BF5">
            <w:pPr>
              <w:rPr>
                <w:b/>
              </w:rPr>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46CF7502" w14:textId="2CE1E0E0" w:rsidR="00A8269D" w:rsidRPr="00A36081" w:rsidDel="007B40A8" w:rsidRDefault="00A8269D" w:rsidP="0052283D">
            <w:pPr>
              <w:jc w:val="both"/>
            </w:pPr>
            <w:r>
              <w:t>(</w:t>
            </w:r>
            <w:r w:rsidR="007355CF">
              <w:t xml:space="preserve">Norma </w:t>
            </w:r>
            <w:r w:rsidR="00C7197C">
              <w:t>4</w:t>
            </w:r>
            <w:r>
              <w:t xml:space="preserve">) </w:t>
            </w:r>
            <w:r w:rsidR="00C7197C">
              <w:t xml:space="preserve">Tabla N° </w:t>
            </w:r>
            <w:r w:rsidR="079A5DD2">
              <w:t>10</w:t>
            </w:r>
            <w:r w:rsidR="1BC85680">
              <w:t xml:space="preserve"> del numeral 5.2.2. del Currículo Nacional de la Educación Básica aprobado por Resolución Ministerial Nº 281-2016-MINEDU y su modificatoria.</w:t>
            </w:r>
          </w:p>
          <w:p w14:paraId="33441FE3" w14:textId="514F087B" w:rsidR="00A8269D" w:rsidRPr="00A36081" w:rsidDel="007B40A8" w:rsidRDefault="1BC85680" w:rsidP="0EEA4307">
            <w:pPr>
              <w:rPr>
                <w:color w:val="0070C0"/>
                <w:lang w:val="en-AU"/>
              </w:rPr>
            </w:pPr>
            <w:r w:rsidRPr="0EEA4307">
              <w:rPr>
                <w:lang w:val="en-AU"/>
              </w:rPr>
              <w:t>Link</w:t>
            </w:r>
            <w:r w:rsidR="00F31064">
              <w:rPr>
                <w:lang w:val="en-AU"/>
              </w:rPr>
              <w:t xml:space="preserve">: </w:t>
            </w:r>
            <w:hyperlink r:id="rId11" w:history="1">
              <w:r w:rsidR="00F31064" w:rsidRPr="002A7743">
                <w:rPr>
                  <w:rStyle w:val="Hipervnculo"/>
                  <w:lang w:val="en-AU"/>
                </w:rPr>
                <w:t>httP://www.minedu.gob.pe/curriculo-nacional-de-la-educacion-basica.pdf</w:t>
              </w:r>
            </w:hyperlink>
            <w:r w:rsidR="00F31064">
              <w:rPr>
                <w:lang w:val="en-AU"/>
              </w:rPr>
              <w:t xml:space="preserve"> </w:t>
            </w:r>
            <w:r w:rsidRPr="0EEA4307">
              <w:rPr>
                <w:lang w:val="en-AU"/>
              </w:rPr>
              <w:t xml:space="preserve"> </w:t>
            </w:r>
            <w:hyperlink r:id="rId12" w:history="1"/>
          </w:p>
          <w:p w14:paraId="01685E71" w14:textId="69BEE1F2" w:rsidR="00A8269D" w:rsidRPr="00A36081" w:rsidDel="007B40A8" w:rsidRDefault="00C7197C" w:rsidP="00A8269D">
            <w:pPr>
              <w:jc w:val="both"/>
              <w:rPr>
                <w:color w:val="0070C0"/>
                <w:lang w:val="en-AU"/>
              </w:rPr>
            </w:pPr>
            <w:r w:rsidRPr="00CE184A">
              <w:rPr>
                <w:lang w:val="en-US"/>
              </w:rPr>
              <w:t xml:space="preserve"> </w:t>
            </w:r>
            <w:r w:rsidR="00B659B3" w:rsidRPr="3FEBE591">
              <w:rPr>
                <w:color w:val="0070C0"/>
                <w:lang w:val="en-AU"/>
              </w:rPr>
              <w:t xml:space="preserve"> </w:t>
            </w:r>
          </w:p>
          <w:p w14:paraId="49E5911F" w14:textId="368BAE8B" w:rsidR="00086B35" w:rsidRPr="00DB5F02" w:rsidDel="007B40A8" w:rsidRDefault="177DB6C3" w:rsidP="00086B35">
            <w:pPr>
              <w:widowControl w:val="0"/>
              <w:tabs>
                <w:tab w:val="left" w:pos="2009"/>
              </w:tabs>
              <w:autoSpaceDE w:val="0"/>
              <w:autoSpaceDN w:val="0"/>
              <w:spacing w:before="12" w:line="232" w:lineRule="auto"/>
              <w:jc w:val="both"/>
              <w:rPr>
                <w:rFonts w:ascii="Calibri" w:hAnsi="Calibri"/>
                <w:color w:val="0000FF"/>
              </w:rPr>
            </w:pPr>
            <w:r>
              <w:t>(Norma 5) Artículo 69 del Reglamento de la Ley Nº 28044 Ley General de Educación, aprobado con D.S. Nº 011-2012-ED</w:t>
            </w:r>
            <w:r w:rsidR="50806A1D">
              <w:t xml:space="preserve"> y sus modificatorias.</w:t>
            </w:r>
          </w:p>
          <w:p w14:paraId="30D952A7" w14:textId="6694B022" w:rsidR="00CB4223" w:rsidDel="007B40A8" w:rsidRDefault="177DB6C3" w:rsidP="00F40992">
            <w:pPr>
              <w:rPr>
                <w:rStyle w:val="Hipervnculo"/>
                <w:lang w:val="en-US"/>
              </w:rPr>
            </w:pPr>
            <w:r w:rsidRPr="177DB6C3">
              <w:rPr>
                <w:lang w:val="en-AU"/>
              </w:rPr>
              <w:t xml:space="preserve">Link: </w:t>
            </w:r>
            <w:hyperlink r:id="rId13" w:history="1">
              <w:r w:rsidR="00CE184A" w:rsidRPr="002A7743">
                <w:rPr>
                  <w:rStyle w:val="Hipervnculo"/>
                  <w:lang w:val="en-AU"/>
                </w:rPr>
                <w:t>https://minedu.gob.pe/curriculo/pdf/curriculo-nacional-de-la-educacion-basica.pdf</w:t>
              </w:r>
            </w:hyperlink>
            <w:r w:rsidR="00CE184A">
              <w:rPr>
                <w:lang w:val="en-AU"/>
              </w:rPr>
              <w:t xml:space="preserve">  </w:t>
            </w:r>
          </w:p>
          <w:p w14:paraId="214479A3" w14:textId="5187A4D2" w:rsidR="005B4C21" w:rsidRPr="00CE184A" w:rsidRDefault="00541E19" w:rsidP="00057AB6">
            <w:pPr>
              <w:rPr>
                <w:rFonts w:cs="StagSans-Medium"/>
                <w:color w:val="231F20"/>
                <w:lang w:val="en-US"/>
              </w:rPr>
            </w:pPr>
            <w:hyperlink r:id="rId14" w:history="1">
              <w:hyperlink r:id="rId15" w:history="1"/>
            </w:hyperlink>
          </w:p>
        </w:tc>
      </w:tr>
      <w:tr w:rsidR="00057AB6" w:rsidRPr="007F2000" w14:paraId="08632259" w14:textId="77777777" w:rsidTr="770F0127">
        <w:trPr>
          <w:trHeight w:val="260"/>
        </w:trPr>
        <w:tc>
          <w:tcPr>
            <w:tcW w:w="8529" w:type="dxa"/>
            <w:tcBorders>
              <w:left w:val="single" w:sz="4" w:space="0" w:color="auto"/>
            </w:tcBorders>
            <w:shd w:val="clear" w:color="auto" w:fill="000000" w:themeFill="text1"/>
          </w:tcPr>
          <w:p w14:paraId="7155EC9C" w14:textId="3C641443" w:rsidR="00002FFB" w:rsidRPr="007F2000" w:rsidRDefault="00F95B43" w:rsidP="00057AB6">
            <w:r w:rsidRPr="0EEA4307">
              <w:rPr>
                <w:b/>
                <w:bCs/>
              </w:rPr>
              <w:lastRenderedPageBreak/>
              <w:t>Estándares de Calidad</w:t>
            </w:r>
          </w:p>
        </w:tc>
      </w:tr>
      <w:tr w:rsidR="00002FFB" w:rsidRPr="005B4C21" w14:paraId="094E85F5" w14:textId="77777777" w:rsidTr="770F0127">
        <w:trPr>
          <w:trHeight w:val="260"/>
        </w:trPr>
        <w:tc>
          <w:tcPr>
            <w:tcW w:w="8529" w:type="dxa"/>
            <w:tcBorders>
              <w:left w:val="single" w:sz="4" w:space="0" w:color="auto"/>
              <w:bottom w:val="single" w:sz="4" w:space="0" w:color="auto"/>
            </w:tcBorders>
          </w:tcPr>
          <w:p w14:paraId="64874914" w14:textId="4F73DB50"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5265E7B5" w:rsidR="006113CA" w:rsidRPr="00697CA0" w:rsidRDefault="006113CA" w:rsidP="00697CA0">
            <w:pPr>
              <w:jc w:val="both"/>
            </w:pPr>
          </w:p>
          <w:p w14:paraId="2C49EAA2" w14:textId="2241260F" w:rsidR="00E94B5B" w:rsidRDefault="00E94B5B" w:rsidP="00E94B5B">
            <w:pPr>
              <w:jc w:val="both"/>
            </w:pPr>
            <w:r>
              <w:t xml:space="preserve">En </w:t>
            </w:r>
            <w:r w:rsidRPr="00FD09DB">
              <w:t xml:space="preserve">el marco del </w:t>
            </w:r>
            <w:r w:rsidRPr="004B2B0C">
              <w:t>Sistema Nacional de Programación Multianual y Gestión de Inversiones</w:t>
            </w:r>
            <w:r>
              <w:t xml:space="preserve"> (SNPMGI) se identificaron los siguientes estándares de </w:t>
            </w:r>
            <w:r w:rsidR="008824A4">
              <w:t>calidad</w:t>
            </w:r>
            <w:r w:rsidRPr="00FD09DB">
              <w:t>:</w:t>
            </w:r>
          </w:p>
          <w:p w14:paraId="6A9761F5" w14:textId="77777777" w:rsidR="00763029" w:rsidRDefault="00763029" w:rsidP="00697CA0">
            <w:pPr>
              <w:jc w:val="both"/>
            </w:pPr>
          </w:p>
          <w:p w14:paraId="581C2B38" w14:textId="7135E93B" w:rsidR="00763029" w:rsidRDefault="177DB6C3" w:rsidP="177DB6C3">
            <w:pPr>
              <w:rPr>
                <w:b/>
                <w:bCs/>
              </w:rPr>
            </w:pPr>
            <w:r w:rsidRPr="177DB6C3">
              <w:rPr>
                <w:b/>
                <w:bCs/>
              </w:rPr>
              <w:t>i. Reglamento Nacional de Edificaciones</w:t>
            </w:r>
          </w:p>
          <w:p w14:paraId="4BB2F96E" w14:textId="77777777" w:rsidR="00763029" w:rsidRDefault="00763029" w:rsidP="00763029">
            <w:pPr>
              <w:rPr>
                <w:b/>
              </w:rPr>
            </w:pPr>
          </w:p>
          <w:p w14:paraId="2C17D4FE" w14:textId="283F4AD6" w:rsidR="00763029" w:rsidRPr="001669A2" w:rsidRDefault="00763029" w:rsidP="0052283D">
            <w:pPr>
              <w:jc w:val="both"/>
            </w:pPr>
            <w:r w:rsidRPr="001669A2">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r w:rsidR="00CE184A">
              <w:t xml:space="preserve"> (Norma 6)</w:t>
            </w:r>
          </w:p>
          <w:p w14:paraId="794A43E1" w14:textId="77777777" w:rsidR="00697CA0" w:rsidRPr="00697CA0" w:rsidRDefault="00697CA0" w:rsidP="00697CA0">
            <w:pPr>
              <w:jc w:val="both"/>
            </w:pPr>
          </w:p>
          <w:p w14:paraId="0F8908AF" w14:textId="2A2CC694" w:rsidR="00CE184A" w:rsidRPr="00924619" w:rsidRDefault="177DB6C3" w:rsidP="00CE184A">
            <w:pPr>
              <w:jc w:val="both"/>
              <w:rPr>
                <w:b/>
                <w:bCs/>
              </w:rPr>
            </w:pPr>
            <w:r w:rsidRPr="177DB6C3">
              <w:rPr>
                <w:b/>
                <w:bCs/>
              </w:rPr>
              <w:t xml:space="preserve">ii. “Criterios Generales de Diseño </w:t>
            </w:r>
            <w:r w:rsidR="00926C89">
              <w:rPr>
                <w:b/>
                <w:bCs/>
              </w:rPr>
              <w:t>para</w:t>
            </w:r>
            <w:r w:rsidRPr="177DB6C3">
              <w:rPr>
                <w:b/>
                <w:bCs/>
              </w:rPr>
              <w:t xml:space="preserve"> Infraestructura Educativa”, </w:t>
            </w:r>
            <w:r w:rsidRPr="00926C89">
              <w:t>que establece, entre otros, lo siguiente</w:t>
            </w:r>
            <w:r w:rsidR="00926C89" w:rsidRPr="00926C89">
              <w:t>, que establece entre otros los siguiente:</w:t>
            </w:r>
            <w:r w:rsidR="00CE184A" w:rsidRPr="00926C89">
              <w:t xml:space="preserve"> </w:t>
            </w:r>
          </w:p>
          <w:p w14:paraId="171EE22A" w14:textId="77777777" w:rsidR="00CE184A" w:rsidRDefault="00CE184A" w:rsidP="00CE184A">
            <w:pPr>
              <w:jc w:val="both"/>
            </w:pPr>
          </w:p>
          <w:p w14:paraId="11ABA1A4" w14:textId="77777777" w:rsidR="00926C89" w:rsidRDefault="00926C89" w:rsidP="00926C89">
            <w:pPr>
              <w:pStyle w:val="Prrafodelista"/>
              <w:numPr>
                <w:ilvl w:val="0"/>
                <w:numId w:val="28"/>
              </w:numPr>
              <w:jc w:val="both"/>
            </w:pPr>
            <w:r>
              <w:t>Principios generales de diseño aplicables a la infraestructura educativa.</w:t>
            </w:r>
          </w:p>
          <w:p w14:paraId="0064CEB3" w14:textId="77777777" w:rsidR="00926C89" w:rsidRDefault="00926C89" w:rsidP="00926C89">
            <w:pPr>
              <w:pStyle w:val="Prrafodelista"/>
              <w:numPr>
                <w:ilvl w:val="0"/>
                <w:numId w:val="28"/>
              </w:numPr>
              <w:jc w:val="both"/>
            </w:pPr>
            <w:r>
              <w:t>Criterios para el diseño arquitectónico.</w:t>
            </w:r>
          </w:p>
          <w:p w14:paraId="365A4C65" w14:textId="77777777" w:rsidR="00926C89" w:rsidRDefault="00926C89" w:rsidP="00926C89">
            <w:pPr>
              <w:pStyle w:val="Prrafodelista"/>
              <w:numPr>
                <w:ilvl w:val="0"/>
                <w:numId w:val="28"/>
              </w:numPr>
              <w:jc w:val="both"/>
            </w:pPr>
            <w:r>
              <w:t>Criterios para el diseño estructural</w:t>
            </w:r>
          </w:p>
          <w:p w14:paraId="41318E58" w14:textId="77777777" w:rsidR="00926C89" w:rsidRDefault="00926C89" w:rsidP="00926C89">
            <w:pPr>
              <w:pStyle w:val="Prrafodelista"/>
              <w:numPr>
                <w:ilvl w:val="0"/>
                <w:numId w:val="28"/>
              </w:numPr>
              <w:jc w:val="both"/>
            </w:pPr>
            <w:r>
              <w:t>Ambientes del local educativo</w:t>
            </w:r>
          </w:p>
          <w:p w14:paraId="252E8B0E" w14:textId="77777777" w:rsidR="00926C89" w:rsidRDefault="00926C89" w:rsidP="00926C89">
            <w:pPr>
              <w:pStyle w:val="Prrafodelista"/>
              <w:numPr>
                <w:ilvl w:val="0"/>
                <w:numId w:val="28"/>
              </w:numPr>
              <w:jc w:val="both"/>
            </w:pPr>
            <w:r>
              <w:t>Clasificación de ambientes</w:t>
            </w:r>
          </w:p>
          <w:p w14:paraId="05995DB3" w14:textId="77777777" w:rsidR="00926C89" w:rsidRDefault="00926C89" w:rsidP="00926C89">
            <w:pPr>
              <w:pStyle w:val="Prrafodelista"/>
              <w:numPr>
                <w:ilvl w:val="0"/>
                <w:numId w:val="28"/>
              </w:numPr>
              <w:jc w:val="both"/>
            </w:pPr>
            <w:r>
              <w:t>Programación arquitectónica del local educativo</w:t>
            </w:r>
          </w:p>
          <w:p w14:paraId="67AC45AF" w14:textId="77777777" w:rsidR="00926C89" w:rsidRDefault="00926C89" w:rsidP="00926C89">
            <w:pPr>
              <w:pStyle w:val="Prrafodelista"/>
              <w:numPr>
                <w:ilvl w:val="0"/>
                <w:numId w:val="28"/>
              </w:numPr>
              <w:jc w:val="both"/>
            </w:pPr>
            <w:r>
              <w:t>Mantenimiento</w:t>
            </w:r>
          </w:p>
          <w:p w14:paraId="56FA4A7A" w14:textId="173C0B7B" w:rsidR="00926C89" w:rsidRDefault="00926C89" w:rsidP="00926C89">
            <w:pPr>
              <w:pStyle w:val="Prrafodelista"/>
              <w:numPr>
                <w:ilvl w:val="0"/>
                <w:numId w:val="28"/>
              </w:numPr>
              <w:jc w:val="both"/>
            </w:pPr>
            <w:r>
              <w:t xml:space="preserve">Limpieza, gestión y manejo de residuos sólidos (Norma </w:t>
            </w:r>
            <w:r>
              <w:t>7</w:t>
            </w:r>
            <w:r>
              <w:t>)</w:t>
            </w:r>
          </w:p>
          <w:p w14:paraId="43523B99" w14:textId="0DB1F1DB" w:rsidR="00697CA0" w:rsidRPr="00A36081" w:rsidRDefault="00697CA0" w:rsidP="00697CA0">
            <w:pPr>
              <w:jc w:val="both"/>
            </w:pPr>
          </w:p>
          <w:p w14:paraId="225EAFC2" w14:textId="51D0B003" w:rsidR="002D4F5B" w:rsidRDefault="177DB6C3" w:rsidP="177DB6C3">
            <w:pPr>
              <w:rPr>
                <w:b/>
                <w:bCs/>
              </w:rPr>
            </w:pPr>
            <w:r w:rsidRPr="177DB6C3">
              <w:rPr>
                <w:b/>
                <w:bCs/>
              </w:rPr>
              <w:t>i</w:t>
            </w:r>
            <w:r w:rsidR="004E4A72">
              <w:rPr>
                <w:b/>
                <w:bCs/>
              </w:rPr>
              <w:t>ii</w:t>
            </w:r>
            <w:r w:rsidRPr="177DB6C3">
              <w:rPr>
                <w:b/>
                <w:bCs/>
              </w:rPr>
              <w:t xml:space="preserve">. Criterios de Diseño para Ambientes de Servicios de Alimentación en los Locales Educativos de la Educación Básica (Norma </w:t>
            </w:r>
            <w:r w:rsidR="004E4A72">
              <w:rPr>
                <w:b/>
                <w:bCs/>
              </w:rPr>
              <w:t>8</w:t>
            </w:r>
            <w:r w:rsidRPr="177DB6C3">
              <w:rPr>
                <w:b/>
                <w:bCs/>
              </w:rPr>
              <w:t>)</w:t>
            </w:r>
          </w:p>
          <w:p w14:paraId="2589635F" w14:textId="77777777" w:rsidR="002D4F5B" w:rsidRDefault="002D4F5B" w:rsidP="002D4F5B"/>
          <w:p w14:paraId="22B5E857" w14:textId="1F26CBEF" w:rsidR="002D4F5B" w:rsidRDefault="002D4F5B" w:rsidP="0052283D">
            <w:pPr>
              <w:jc w:val="both"/>
            </w:pPr>
            <w:r>
              <w:t xml:space="preserve">Establece los criterios para el diseño de ambientes destinados al almacenamiento, preparación, expendio y consumo de alimentos en locales educativos de Educación Básica, a </w:t>
            </w:r>
            <w:r>
              <w:lastRenderedPageBreak/>
              <w:t>fin de asegurar condiciones de funcionalidad, habitabilidad, seguridad, salubridad y sostenibilidad.</w:t>
            </w:r>
          </w:p>
          <w:p w14:paraId="67CBC30C" w14:textId="0F06963A" w:rsidR="00CE184A" w:rsidRDefault="00CE184A" w:rsidP="0052283D">
            <w:pPr>
              <w:jc w:val="both"/>
            </w:pPr>
          </w:p>
          <w:p w14:paraId="2C168796" w14:textId="77777777" w:rsidR="00CE184A" w:rsidRPr="00F448EE" w:rsidRDefault="00CE184A" w:rsidP="00CE184A">
            <w:pPr>
              <w:jc w:val="both"/>
              <w:rPr>
                <w:b/>
                <w:bCs/>
              </w:rPr>
            </w:pPr>
            <w:r w:rsidRPr="00F448EE">
              <w:rPr>
                <w:b/>
                <w:bCs/>
              </w:rPr>
              <w:t>v. Guía de Estrategias de Diseño Bioclimático para el Confort Térmico</w:t>
            </w:r>
          </w:p>
          <w:p w14:paraId="775C4BC6" w14:textId="77777777" w:rsidR="00CE184A" w:rsidRDefault="00CE184A" w:rsidP="00CE184A">
            <w:pPr>
              <w:jc w:val="both"/>
              <w:rPr>
                <w:b/>
              </w:rPr>
            </w:pPr>
          </w:p>
          <w:p w14:paraId="2AD3D34E" w14:textId="77777777" w:rsidR="00CE184A" w:rsidRDefault="00CE184A" w:rsidP="00CE184A">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1B5E323A" w14:textId="77777777" w:rsidR="00CE184A" w:rsidRDefault="00CE184A" w:rsidP="00CE184A">
            <w:pPr>
              <w:jc w:val="both"/>
              <w:rPr>
                <w:bCs/>
              </w:rPr>
            </w:pPr>
          </w:p>
          <w:p w14:paraId="07B99B36" w14:textId="77777777" w:rsidR="00CE184A" w:rsidRDefault="00CE184A" w:rsidP="00CE184A">
            <w:pPr>
              <w:jc w:val="both"/>
            </w:pPr>
            <w:r w:rsidRPr="00AB5711">
              <w:t xml:space="preserve">• </w:t>
            </w:r>
            <w:r>
              <w:t>Variables de confort térmico</w:t>
            </w:r>
          </w:p>
          <w:p w14:paraId="76842CAC" w14:textId="77777777" w:rsidR="00CE184A" w:rsidRDefault="00CE184A" w:rsidP="00CE184A">
            <w:pPr>
              <w:jc w:val="both"/>
            </w:pPr>
            <w:r w:rsidRPr="00AB5711">
              <w:t xml:space="preserve">• </w:t>
            </w:r>
            <w:r>
              <w:t>Recomendaciones para determinar la zona de confort térmico</w:t>
            </w:r>
          </w:p>
          <w:p w14:paraId="47B2BC51" w14:textId="77777777" w:rsidR="00CE184A" w:rsidRDefault="00CE184A" w:rsidP="00CE184A">
            <w:pPr>
              <w:jc w:val="both"/>
            </w:pPr>
            <w:r w:rsidRPr="00AB5711">
              <w:t xml:space="preserve">• </w:t>
            </w:r>
            <w:r>
              <w:t>Estrategias generales de diseño bioclimático, entre otros (Norma 9)</w:t>
            </w:r>
          </w:p>
          <w:p w14:paraId="0ABDF402" w14:textId="77777777" w:rsidR="00CE184A" w:rsidRDefault="00CE184A" w:rsidP="0052283D">
            <w:pPr>
              <w:jc w:val="both"/>
            </w:pPr>
          </w:p>
          <w:p w14:paraId="2421775E" w14:textId="77777777" w:rsidR="002D4F5B" w:rsidRPr="00A36081" w:rsidRDefault="002D4F5B" w:rsidP="00057AB6"/>
          <w:p w14:paraId="133C1640" w14:textId="4E045F7E" w:rsidR="00002FFB" w:rsidRPr="00A36081" w:rsidRDefault="00B72BD7" w:rsidP="00B72BD7">
            <w:r w:rsidRPr="00A36081">
              <w:rPr>
                <w:b/>
              </w:rPr>
              <w:t>Norma Legal</w:t>
            </w:r>
            <w:r w:rsidR="00F95B43" w:rsidRPr="00A36081">
              <w:rPr>
                <w:b/>
              </w:rPr>
              <w:t>:</w:t>
            </w:r>
          </w:p>
          <w:p w14:paraId="032E5AB6" w14:textId="77777777" w:rsidR="00002FFB" w:rsidRDefault="00002FFB" w:rsidP="00057AB6">
            <w:pPr>
              <w:pStyle w:val="Prrafodelista"/>
              <w:ind w:left="313"/>
              <w:rPr>
                <w:sz w:val="18"/>
              </w:rPr>
            </w:pPr>
          </w:p>
          <w:p w14:paraId="6CE37247" w14:textId="3C6E71B7" w:rsidR="006417F9" w:rsidRDefault="177DB6C3" w:rsidP="006417F9">
            <w:pPr>
              <w:jc w:val="both"/>
            </w:pPr>
            <w:r>
              <w:t>(Norma 6) Normas Técnicas del Reglamento Nacional de Edificaciones – RNE, aprobadas con Decreto Supremo N° 011-2006-VIVIENDA, y sus actualizaciones.</w:t>
            </w:r>
          </w:p>
          <w:p w14:paraId="6CA3FBB6" w14:textId="77777777" w:rsidR="006417F9" w:rsidRDefault="006417F9" w:rsidP="006417F9">
            <w:pPr>
              <w:jc w:val="both"/>
              <w:rPr>
                <w:lang w:val="en-US"/>
              </w:rPr>
            </w:pPr>
            <w:r w:rsidRPr="00197F7E">
              <w:rPr>
                <w:lang w:val="en-US"/>
              </w:rPr>
              <w:t xml:space="preserve">Link: </w:t>
            </w:r>
            <w:hyperlink r:id="rId16" w:history="1">
              <w:r w:rsidRPr="00472B42">
                <w:rPr>
                  <w:rStyle w:val="Hipervnculo"/>
                  <w:lang w:val="en-US"/>
                </w:rPr>
                <w:t>http://www.construccion.org/normas/rne2012/rne2006.htm</w:t>
              </w:r>
            </w:hyperlink>
          </w:p>
          <w:p w14:paraId="272C631F" w14:textId="77777777" w:rsidR="006417F9" w:rsidRPr="00CE184A" w:rsidRDefault="006417F9" w:rsidP="00057AB6">
            <w:pPr>
              <w:pStyle w:val="Prrafodelista"/>
              <w:ind w:left="313"/>
              <w:rPr>
                <w:sz w:val="18"/>
                <w:lang w:val="en-US"/>
              </w:rPr>
            </w:pPr>
          </w:p>
          <w:p w14:paraId="07AEA677" w14:textId="3A0F4BCD" w:rsidR="00926C89" w:rsidRDefault="00926C89" w:rsidP="00926C89">
            <w:pPr>
              <w:jc w:val="both"/>
            </w:pPr>
            <w:r>
              <w:t xml:space="preserve">(Norma </w:t>
            </w:r>
            <w:r>
              <w:t>7</w:t>
            </w:r>
            <w:r>
              <w:t xml:space="preserve">) Norma Técnica “Criterios Generales de Diseño para la Infraestructura Educativa”, aprobada con la Resolución Viceministerial N° 068-2025-MINEDU. </w:t>
            </w:r>
          </w:p>
          <w:p w14:paraId="5234E6D1" w14:textId="77777777" w:rsidR="00926C89" w:rsidRDefault="00926C89" w:rsidP="00926C89">
            <w:pPr>
              <w:jc w:val="both"/>
              <w:rPr>
                <w:lang w:val="en-US"/>
              </w:rPr>
            </w:pPr>
            <w:r w:rsidRPr="00197F7E">
              <w:rPr>
                <w:lang w:val="en-US"/>
              </w:rPr>
              <w:t xml:space="preserve">Link: </w:t>
            </w:r>
            <w:hyperlink r:id="rId17" w:history="1">
              <w:r w:rsidRPr="00984747">
                <w:rPr>
                  <w:rStyle w:val="Hipervnculo"/>
                  <w:lang w:val="en-US"/>
                </w:rPr>
                <w:t>https://www.minedu.gob.pe/p/app_normatividad.php</w:t>
              </w:r>
            </w:hyperlink>
          </w:p>
          <w:p w14:paraId="379F1CA8" w14:textId="77777777" w:rsidR="00E846AD" w:rsidRPr="00CE184A" w:rsidRDefault="00E846AD" w:rsidP="002D4F5B">
            <w:pPr>
              <w:jc w:val="both"/>
              <w:rPr>
                <w:rStyle w:val="Hipervnculo"/>
                <w:color w:val="000000" w:themeColor="text1"/>
                <w:u w:val="none"/>
                <w:lang w:val="en-US"/>
              </w:rPr>
            </w:pPr>
          </w:p>
          <w:p w14:paraId="485F0819" w14:textId="6E5114FD" w:rsidR="002D4F5B" w:rsidRPr="00C27BAE" w:rsidRDefault="177DB6C3" w:rsidP="002D4F5B">
            <w:pPr>
              <w:jc w:val="both"/>
              <w:rPr>
                <w:rStyle w:val="Hipervnculo"/>
                <w:color w:val="000000" w:themeColor="text1"/>
                <w:u w:val="none"/>
              </w:rPr>
            </w:pPr>
            <w:r w:rsidRPr="177DB6C3">
              <w:rPr>
                <w:rStyle w:val="Hipervnculo"/>
                <w:color w:val="000000" w:themeColor="text1"/>
                <w:u w:val="none"/>
              </w:rPr>
              <w:t xml:space="preserve">(Norma </w:t>
            </w:r>
            <w:r w:rsidR="00E846AD">
              <w:rPr>
                <w:rStyle w:val="Hipervnculo"/>
                <w:color w:val="000000" w:themeColor="text1"/>
                <w:u w:val="none"/>
              </w:rPr>
              <w:t>8</w:t>
            </w:r>
            <w:r w:rsidRPr="177DB6C3">
              <w:rPr>
                <w:rStyle w:val="Hipervnculo"/>
                <w:color w:val="000000" w:themeColor="text1"/>
                <w:u w:val="none"/>
              </w:rPr>
              <w:t>) Norma Técnica “Criterios de Diseño para Ambientes de Servicios de Alimentación en los Locales Educativos de la Educación Básica”, aprobada con Resolución Viceministerial N° 054-2021-MINEDU y su modificatoria.</w:t>
            </w:r>
          </w:p>
          <w:p w14:paraId="00C67F94" w14:textId="771A300F" w:rsidR="002D4F5B" w:rsidRDefault="002D4F5B" w:rsidP="002D4F5B">
            <w:pPr>
              <w:jc w:val="both"/>
              <w:rPr>
                <w:rStyle w:val="Hipervnculo"/>
                <w:lang w:val="en-US"/>
              </w:rPr>
            </w:pPr>
            <w:r w:rsidRPr="00DB3DD5">
              <w:rPr>
                <w:rStyle w:val="Hipervnculo"/>
                <w:color w:val="auto"/>
                <w:u w:val="none"/>
                <w:lang w:val="en-US"/>
              </w:rPr>
              <w:t xml:space="preserve">Link: </w:t>
            </w:r>
            <w:hyperlink r:id="rId18" w:history="1">
              <w:r w:rsidR="00CE184A" w:rsidRPr="00A25832">
                <w:rPr>
                  <w:rStyle w:val="Hipervnculo"/>
                  <w:lang w:val="en-US"/>
                </w:rPr>
                <w:t>http://www.minedu.gob.pe/p/pdf/rvm-n-054-2021-minedu.pdf</w:t>
              </w:r>
            </w:hyperlink>
          </w:p>
          <w:p w14:paraId="02CFC41F" w14:textId="411C863F" w:rsidR="00CE184A" w:rsidRDefault="00CE184A" w:rsidP="002D4F5B">
            <w:pPr>
              <w:jc w:val="both"/>
              <w:rPr>
                <w:rStyle w:val="Hipervnculo"/>
                <w:lang w:val="en-US"/>
              </w:rPr>
            </w:pPr>
          </w:p>
          <w:p w14:paraId="6B769362" w14:textId="51D13FED" w:rsidR="00CE184A" w:rsidRDefault="00CE184A" w:rsidP="00CE184A">
            <w:pPr>
              <w:jc w:val="both"/>
            </w:pPr>
            <w:r>
              <w:t xml:space="preserve">(Norma 9) Guía de Estrategias de Diseño Bioclimático para el Confort Térmico. </w:t>
            </w:r>
          </w:p>
          <w:p w14:paraId="3F011083" w14:textId="77777777" w:rsidR="00CE184A" w:rsidRDefault="00CE184A" w:rsidP="00CE184A">
            <w:pPr>
              <w:jc w:val="both"/>
              <w:rPr>
                <w:lang w:val="en-US"/>
              </w:rPr>
            </w:pPr>
            <w:r w:rsidRPr="007C19BE">
              <w:rPr>
                <w:lang w:val="en-US"/>
              </w:rPr>
              <w:t xml:space="preserve">Link: </w:t>
            </w:r>
            <w:hyperlink r:id="rId19" w:history="1">
              <w:r w:rsidRPr="004F627C">
                <w:rPr>
                  <w:rStyle w:val="Hipervnculo"/>
                  <w:lang w:val="en-US"/>
                </w:rPr>
                <w:t>http://www.minedu.gob.pe/p/pdf/guia-de-disenio-bioclimatico.pdf</w:t>
              </w:r>
            </w:hyperlink>
          </w:p>
          <w:p w14:paraId="1E22BFFE" w14:textId="77777777" w:rsidR="00697CA0" w:rsidRPr="00697CA0" w:rsidRDefault="00697CA0" w:rsidP="00697CA0">
            <w:pPr>
              <w:jc w:val="both"/>
              <w:rPr>
                <w:lang w:val="en-AU"/>
              </w:rPr>
            </w:pPr>
          </w:p>
          <w:p w14:paraId="7643277B" w14:textId="65FD17F4" w:rsidR="00002FFB" w:rsidRPr="00057AB6" w:rsidRDefault="00697CA0" w:rsidP="00697CA0">
            <w:pPr>
              <w:jc w:val="both"/>
            </w:pPr>
            <w:r>
              <w:t xml:space="preserve">La OPMI del Sector Educación puede identificar como </w:t>
            </w:r>
            <w:r w:rsidR="007D5F4E">
              <w:t>estándar</w:t>
            </w:r>
            <w:r>
              <w:t xml:space="preserve"> de calidad otras normas que considere pertinentes.</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14C3" w14:textId="77777777" w:rsidR="00541E19" w:rsidRDefault="00541E19">
      <w:pPr>
        <w:spacing w:after="0" w:line="240" w:lineRule="auto"/>
      </w:pPr>
      <w:r>
        <w:separator/>
      </w:r>
    </w:p>
  </w:endnote>
  <w:endnote w:type="continuationSeparator" w:id="0">
    <w:p w14:paraId="38C0D627" w14:textId="77777777" w:rsidR="00541E19" w:rsidRDefault="0054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34C5" w14:textId="77777777" w:rsidR="00541E19" w:rsidRDefault="00541E19">
      <w:pPr>
        <w:spacing w:after="0" w:line="240" w:lineRule="auto"/>
      </w:pPr>
      <w:r>
        <w:separator/>
      </w:r>
    </w:p>
  </w:footnote>
  <w:footnote w:type="continuationSeparator" w:id="0">
    <w:p w14:paraId="3159CF11" w14:textId="77777777" w:rsidR="00541E19" w:rsidRDefault="00541E19">
      <w:pPr>
        <w:spacing w:after="0" w:line="240" w:lineRule="auto"/>
      </w:pPr>
      <w:r>
        <w:continuationSeparator/>
      </w:r>
    </w:p>
  </w:footnote>
  <w:footnote w:id="1">
    <w:p w14:paraId="6EE71068" w14:textId="26AD97C1" w:rsidR="3FEBE591" w:rsidRPr="0052283D" w:rsidRDefault="3FEBE591" w:rsidP="0052283D">
      <w:pPr>
        <w:spacing w:after="322"/>
        <w:jc w:val="both"/>
        <w:rPr>
          <w:rFonts w:eastAsiaTheme="minorEastAsia"/>
          <w:sz w:val="16"/>
          <w:szCs w:val="16"/>
        </w:rPr>
      </w:pPr>
      <w:r w:rsidRPr="0052283D">
        <w:rPr>
          <w:rStyle w:val="Refdenotaalpie"/>
          <w:sz w:val="16"/>
          <w:szCs w:val="16"/>
        </w:rPr>
        <w:footnoteRef/>
      </w:r>
      <w:r w:rsidR="20A0EA41" w:rsidRPr="0052283D">
        <w:rPr>
          <w:rFonts w:ascii="Arial" w:eastAsia="Arial" w:hAnsi="Arial" w:cs="Arial"/>
          <w:sz w:val="16"/>
          <w:szCs w:val="16"/>
        </w:rPr>
        <w:t xml:space="preserve"> </w:t>
      </w:r>
      <w:r w:rsidR="0052283D" w:rsidRPr="0052283D">
        <w:rPr>
          <w:rFonts w:eastAsiaTheme="minorEastAsia"/>
          <w:sz w:val="16"/>
          <w:szCs w:val="16"/>
        </w:rPr>
        <w:t>Adicionalmente se cuenta con el servicio educativo hospitalario y el servicio educativo para personas privadas de libertad, de acuerdo con lo dispuesto por l</w:t>
      </w:r>
      <w:r w:rsidR="20A0EA41" w:rsidRPr="0052283D">
        <w:rPr>
          <w:rFonts w:eastAsiaTheme="minorEastAsia"/>
          <w:sz w:val="16"/>
          <w:szCs w:val="16"/>
        </w:rPr>
        <w:t>a Ley N° 30772, Ley que promueve la atención educativa integral de los estudiantes en condiciones de hospitalización o con tratamiento ambulatorio de la Educación Básica, su Reglamento aprobado por Decreto Supremo N° 003-2020-MINEDU, y la Resolución Viceministerial N° 154-2020-MINEDU contienen las disposiciones que regulan el Servicio Educativo Hospitalario, el cual  funciona en los establecimientos de salud; y mediante Resolución Ministerial N°168-2021-MINEDU se crea el "Modelo de Servicio Educativo para Personas Privadas de Libertad de la Educación Básica Alternativa", el cual se implementa en los Establecimientos Penitenciarios y los Centros Juveniles de Diagnóstico y Rehabilitación a cargo del INPE y PRONACEJ</w:t>
      </w:r>
      <w:r w:rsidR="0052283D">
        <w:rPr>
          <w:rFonts w:eastAsiaTheme="minorEastAsia"/>
          <w:sz w:val="16"/>
          <w:szCs w:val="16"/>
        </w:rPr>
        <w:t>, respectivamente</w:t>
      </w:r>
      <w:r w:rsidR="20A0EA41" w:rsidRPr="0052283D">
        <w:rPr>
          <w:rFonts w:eastAsiaTheme="minorEastAsia"/>
          <w:sz w:val="16"/>
          <w:szCs w:val="16"/>
        </w:rPr>
        <w:t xml:space="preserve">. Por tanto, respecto de estos modelos servicios </w:t>
      </w:r>
      <w:r w:rsidR="0052283D">
        <w:rPr>
          <w:rFonts w:eastAsiaTheme="minorEastAsia"/>
          <w:sz w:val="16"/>
          <w:szCs w:val="16"/>
        </w:rPr>
        <w:t>no se puede llevar a cabo inversiones del Sector Educación.</w:t>
      </w:r>
    </w:p>
  </w:footnote>
  <w:footnote w:id="2">
    <w:p w14:paraId="1A67436B" w14:textId="5EFACB38" w:rsidR="3FEBE591" w:rsidRPr="0052283D" w:rsidRDefault="3FEBE591" w:rsidP="0052283D">
      <w:pPr>
        <w:pStyle w:val="Textonotapie"/>
        <w:jc w:val="both"/>
        <w:rPr>
          <w:rFonts w:eastAsiaTheme="minorEastAsia"/>
          <w:sz w:val="16"/>
          <w:szCs w:val="16"/>
        </w:rPr>
      </w:pPr>
      <w:r w:rsidRPr="0052283D">
        <w:rPr>
          <w:rStyle w:val="Refdenotaalpie"/>
          <w:sz w:val="16"/>
          <w:szCs w:val="16"/>
        </w:rPr>
        <w:footnoteRef/>
      </w:r>
      <w:r w:rsidRPr="0052283D">
        <w:rPr>
          <w:sz w:val="16"/>
          <w:szCs w:val="16"/>
        </w:rPr>
        <w:t xml:space="preserve"> </w:t>
      </w:r>
      <w:r w:rsidRPr="0052283D">
        <w:rPr>
          <w:rFonts w:eastAsiaTheme="minorEastAsia"/>
          <w:sz w:val="16"/>
          <w:szCs w:val="16"/>
        </w:rPr>
        <w:t>A través de la Resolución Ministerial N° 451-2020-MINEDU se crea el “Modelo de Servicio Educativo para personas adultas mayores (MSE – PAM), el cual funciona y se implementa en los CEBA.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E03D46"/>
    <w:multiLevelType w:val="hybridMultilevel"/>
    <w:tmpl w:val="B5E80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7"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98544B"/>
    <w:multiLevelType w:val="hybridMultilevel"/>
    <w:tmpl w:val="99467BF0"/>
    <w:lvl w:ilvl="0" w:tplc="B410449C">
      <w:numFmt w:val="bullet"/>
      <w:lvlText w:val="•"/>
      <w:lvlJc w:val="left"/>
      <w:pPr>
        <w:ind w:left="1065" w:hanging="705"/>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4"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7" w15:restartNumberingAfterBreak="0">
    <w:nsid w:val="40F77E1B"/>
    <w:multiLevelType w:val="hybridMultilevel"/>
    <w:tmpl w:val="26E23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9C087F"/>
    <w:multiLevelType w:val="hybridMultilevel"/>
    <w:tmpl w:val="AA7A79FE"/>
    <w:lvl w:ilvl="0" w:tplc="CF5EBF14">
      <w:start w:val="1"/>
      <w:numFmt w:val="upperRoman"/>
      <w:lvlText w:val="%1."/>
      <w:lvlJc w:val="left"/>
      <w:pPr>
        <w:ind w:left="1725" w:hanging="406"/>
        <w:jc w:val="right"/>
      </w:pPr>
      <w:rPr>
        <w:rFonts w:ascii="Arial" w:eastAsia="Arial" w:hAnsi="Arial" w:cs="Arial" w:hint="default"/>
        <w:b/>
        <w:bCs/>
        <w:color w:val="234060"/>
        <w:spacing w:val="0"/>
        <w:w w:val="100"/>
        <w:sz w:val="22"/>
        <w:szCs w:val="22"/>
        <w:lang w:val="es-ES" w:eastAsia="en-US" w:bidi="ar-SA"/>
      </w:rPr>
    </w:lvl>
    <w:lvl w:ilvl="1" w:tplc="D2CA0BD2">
      <w:numFmt w:val="bullet"/>
      <w:lvlText w:val="-"/>
      <w:lvlJc w:val="left"/>
      <w:pPr>
        <w:ind w:left="2294" w:hanging="286"/>
      </w:pPr>
      <w:rPr>
        <w:rFonts w:hint="default"/>
        <w:w w:val="100"/>
        <w:lang w:val="es-ES" w:eastAsia="en-US" w:bidi="ar-SA"/>
      </w:rPr>
    </w:lvl>
    <w:lvl w:ilvl="2" w:tplc="E0384D92">
      <w:numFmt w:val="bullet"/>
      <w:lvlText w:val="•"/>
      <w:lvlJc w:val="left"/>
      <w:pPr>
        <w:ind w:left="2160" w:hanging="286"/>
      </w:pPr>
      <w:rPr>
        <w:rFonts w:hint="default"/>
        <w:lang w:val="es-ES" w:eastAsia="en-US" w:bidi="ar-SA"/>
      </w:rPr>
    </w:lvl>
    <w:lvl w:ilvl="3" w:tplc="4CEC887C">
      <w:numFmt w:val="bullet"/>
      <w:lvlText w:val="•"/>
      <w:lvlJc w:val="left"/>
      <w:pPr>
        <w:ind w:left="2300" w:hanging="286"/>
      </w:pPr>
      <w:rPr>
        <w:rFonts w:hint="default"/>
        <w:lang w:val="es-ES" w:eastAsia="en-US" w:bidi="ar-SA"/>
      </w:rPr>
    </w:lvl>
    <w:lvl w:ilvl="4" w:tplc="9CA2755C">
      <w:numFmt w:val="bullet"/>
      <w:lvlText w:val="•"/>
      <w:lvlJc w:val="left"/>
      <w:pPr>
        <w:ind w:left="3549" w:hanging="286"/>
      </w:pPr>
      <w:rPr>
        <w:rFonts w:hint="default"/>
        <w:lang w:val="es-ES" w:eastAsia="en-US" w:bidi="ar-SA"/>
      </w:rPr>
    </w:lvl>
    <w:lvl w:ilvl="5" w:tplc="E0D03B74">
      <w:numFmt w:val="bullet"/>
      <w:lvlText w:val="•"/>
      <w:lvlJc w:val="left"/>
      <w:pPr>
        <w:ind w:left="4798" w:hanging="286"/>
      </w:pPr>
      <w:rPr>
        <w:rFonts w:hint="default"/>
        <w:lang w:val="es-ES" w:eastAsia="en-US" w:bidi="ar-SA"/>
      </w:rPr>
    </w:lvl>
    <w:lvl w:ilvl="6" w:tplc="2C2266A6">
      <w:numFmt w:val="bullet"/>
      <w:lvlText w:val="•"/>
      <w:lvlJc w:val="left"/>
      <w:pPr>
        <w:ind w:left="6048" w:hanging="286"/>
      </w:pPr>
      <w:rPr>
        <w:rFonts w:hint="default"/>
        <w:lang w:val="es-ES" w:eastAsia="en-US" w:bidi="ar-SA"/>
      </w:rPr>
    </w:lvl>
    <w:lvl w:ilvl="7" w:tplc="63FAD8E6">
      <w:numFmt w:val="bullet"/>
      <w:lvlText w:val="•"/>
      <w:lvlJc w:val="left"/>
      <w:pPr>
        <w:ind w:left="7297" w:hanging="286"/>
      </w:pPr>
      <w:rPr>
        <w:rFonts w:hint="default"/>
        <w:lang w:val="es-ES" w:eastAsia="en-US" w:bidi="ar-SA"/>
      </w:rPr>
    </w:lvl>
    <w:lvl w:ilvl="8" w:tplc="ABB001A4">
      <w:numFmt w:val="bullet"/>
      <w:lvlText w:val="•"/>
      <w:lvlJc w:val="left"/>
      <w:pPr>
        <w:ind w:left="8547" w:hanging="286"/>
      </w:pPr>
      <w:rPr>
        <w:rFonts w:hint="default"/>
        <w:lang w:val="es-ES" w:eastAsia="en-US" w:bidi="ar-SA"/>
      </w:rPr>
    </w:lvl>
  </w:abstractNum>
  <w:abstractNum w:abstractNumId="20"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2"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3"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93F01DF"/>
    <w:multiLevelType w:val="hybridMultilevel"/>
    <w:tmpl w:val="D4C665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2"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94675C"/>
    <w:multiLevelType w:val="hybridMultilevel"/>
    <w:tmpl w:val="E1EA8A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8"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9" w15:restartNumberingAfterBreak="0">
    <w:nsid w:val="6E922F61"/>
    <w:multiLevelType w:val="hybridMultilevel"/>
    <w:tmpl w:val="119E4C28"/>
    <w:lvl w:ilvl="0" w:tplc="149023C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34"/>
  </w:num>
  <w:num w:numId="5">
    <w:abstractNumId w:val="35"/>
  </w:num>
  <w:num w:numId="6">
    <w:abstractNumId w:val="37"/>
  </w:num>
  <w:num w:numId="7">
    <w:abstractNumId w:val="7"/>
  </w:num>
  <w:num w:numId="8">
    <w:abstractNumId w:val="14"/>
  </w:num>
  <w:num w:numId="9">
    <w:abstractNumId w:val="28"/>
  </w:num>
  <w:num w:numId="10">
    <w:abstractNumId w:val="30"/>
  </w:num>
  <w:num w:numId="11">
    <w:abstractNumId w:val="24"/>
  </w:num>
  <w:num w:numId="12">
    <w:abstractNumId w:val="21"/>
  </w:num>
  <w:num w:numId="13">
    <w:abstractNumId w:val="5"/>
  </w:num>
  <w:num w:numId="14">
    <w:abstractNumId w:val="13"/>
  </w:num>
  <w:num w:numId="15">
    <w:abstractNumId w:val="22"/>
  </w:num>
  <w:num w:numId="16">
    <w:abstractNumId w:val="38"/>
  </w:num>
  <w:num w:numId="17">
    <w:abstractNumId w:val="16"/>
  </w:num>
  <w:num w:numId="18">
    <w:abstractNumId w:val="12"/>
  </w:num>
  <w:num w:numId="19">
    <w:abstractNumId w:val="9"/>
  </w:num>
  <w:num w:numId="20">
    <w:abstractNumId w:val="26"/>
  </w:num>
  <w:num w:numId="21">
    <w:abstractNumId w:val="0"/>
  </w:num>
  <w:num w:numId="22">
    <w:abstractNumId w:val="6"/>
  </w:num>
  <w:num w:numId="23">
    <w:abstractNumId w:val="23"/>
  </w:num>
  <w:num w:numId="24">
    <w:abstractNumId w:val="20"/>
  </w:num>
  <w:num w:numId="25">
    <w:abstractNumId w:val="29"/>
  </w:num>
  <w:num w:numId="26">
    <w:abstractNumId w:val="32"/>
  </w:num>
  <w:num w:numId="27">
    <w:abstractNumId w:val="25"/>
  </w:num>
  <w:num w:numId="28">
    <w:abstractNumId w:val="18"/>
  </w:num>
  <w:num w:numId="29">
    <w:abstractNumId w:val="10"/>
  </w:num>
  <w:num w:numId="30">
    <w:abstractNumId w:val="36"/>
  </w:num>
  <w:num w:numId="31">
    <w:abstractNumId w:val="17"/>
  </w:num>
  <w:num w:numId="32">
    <w:abstractNumId w:val="19"/>
  </w:num>
  <w:num w:numId="33">
    <w:abstractNumId w:val="2"/>
  </w:num>
  <w:num w:numId="34">
    <w:abstractNumId w:val="8"/>
  </w:num>
  <w:num w:numId="35">
    <w:abstractNumId w:val="15"/>
  </w:num>
  <w:num w:numId="36">
    <w:abstractNumId w:val="4"/>
  </w:num>
  <w:num w:numId="37">
    <w:abstractNumId w:val="31"/>
  </w:num>
  <w:num w:numId="38">
    <w:abstractNumId w:val="39"/>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77D3"/>
    <w:rsid w:val="00032E41"/>
    <w:rsid w:val="0004014E"/>
    <w:rsid w:val="00043356"/>
    <w:rsid w:val="00051DDF"/>
    <w:rsid w:val="00057AB6"/>
    <w:rsid w:val="000717BA"/>
    <w:rsid w:val="00086B35"/>
    <w:rsid w:val="00092315"/>
    <w:rsid w:val="000941E7"/>
    <w:rsid w:val="00097280"/>
    <w:rsid w:val="000976DE"/>
    <w:rsid w:val="00097DD1"/>
    <w:rsid w:val="000A20D4"/>
    <w:rsid w:val="000A3663"/>
    <w:rsid w:val="000A6481"/>
    <w:rsid w:val="000B7E87"/>
    <w:rsid w:val="000D3D15"/>
    <w:rsid w:val="000E270B"/>
    <w:rsid w:val="00131EAB"/>
    <w:rsid w:val="00142BE8"/>
    <w:rsid w:val="0015200A"/>
    <w:rsid w:val="00155C41"/>
    <w:rsid w:val="00165E5B"/>
    <w:rsid w:val="00167E0B"/>
    <w:rsid w:val="00174F0B"/>
    <w:rsid w:val="00181465"/>
    <w:rsid w:val="00186CA5"/>
    <w:rsid w:val="00190BF5"/>
    <w:rsid w:val="00197F7E"/>
    <w:rsid w:val="001A45AD"/>
    <w:rsid w:val="001A5667"/>
    <w:rsid w:val="001C37C8"/>
    <w:rsid w:val="001E0B0B"/>
    <w:rsid w:val="001E4BB5"/>
    <w:rsid w:val="001F2D53"/>
    <w:rsid w:val="001F4EC7"/>
    <w:rsid w:val="00202489"/>
    <w:rsid w:val="002078C9"/>
    <w:rsid w:val="00232119"/>
    <w:rsid w:val="00233BD7"/>
    <w:rsid w:val="00243823"/>
    <w:rsid w:val="00250762"/>
    <w:rsid w:val="00262476"/>
    <w:rsid w:val="00264B7C"/>
    <w:rsid w:val="00275F18"/>
    <w:rsid w:val="0027609D"/>
    <w:rsid w:val="00290CB2"/>
    <w:rsid w:val="00297F00"/>
    <w:rsid w:val="002A606A"/>
    <w:rsid w:val="002B2D95"/>
    <w:rsid w:val="002B6CB0"/>
    <w:rsid w:val="002C4DBF"/>
    <w:rsid w:val="002C6A20"/>
    <w:rsid w:val="002D3BCE"/>
    <w:rsid w:val="002D4F5B"/>
    <w:rsid w:val="002F28C1"/>
    <w:rsid w:val="003021DB"/>
    <w:rsid w:val="003047BB"/>
    <w:rsid w:val="00304A3E"/>
    <w:rsid w:val="00315E20"/>
    <w:rsid w:val="003314E6"/>
    <w:rsid w:val="00333AF9"/>
    <w:rsid w:val="003649E1"/>
    <w:rsid w:val="00366A29"/>
    <w:rsid w:val="003A142E"/>
    <w:rsid w:val="003B200B"/>
    <w:rsid w:val="003B2701"/>
    <w:rsid w:val="003D02E8"/>
    <w:rsid w:val="003F2F71"/>
    <w:rsid w:val="0041138D"/>
    <w:rsid w:val="00411FFF"/>
    <w:rsid w:val="00414235"/>
    <w:rsid w:val="00427832"/>
    <w:rsid w:val="004739FB"/>
    <w:rsid w:val="00480A6B"/>
    <w:rsid w:val="004A6122"/>
    <w:rsid w:val="004B2B0C"/>
    <w:rsid w:val="004C5E7A"/>
    <w:rsid w:val="004C5FDE"/>
    <w:rsid w:val="004D3B9F"/>
    <w:rsid w:val="004D3CD4"/>
    <w:rsid w:val="004E4A72"/>
    <w:rsid w:val="0052283D"/>
    <w:rsid w:val="00525E19"/>
    <w:rsid w:val="00526C3B"/>
    <w:rsid w:val="0053044F"/>
    <w:rsid w:val="00534073"/>
    <w:rsid w:val="00541E19"/>
    <w:rsid w:val="00572605"/>
    <w:rsid w:val="005942E6"/>
    <w:rsid w:val="00594BD7"/>
    <w:rsid w:val="005B2340"/>
    <w:rsid w:val="005B4C21"/>
    <w:rsid w:val="005C4F7E"/>
    <w:rsid w:val="005C7196"/>
    <w:rsid w:val="005D773F"/>
    <w:rsid w:val="005E4533"/>
    <w:rsid w:val="006063E8"/>
    <w:rsid w:val="00610496"/>
    <w:rsid w:val="006113CA"/>
    <w:rsid w:val="00616F5E"/>
    <w:rsid w:val="006179AC"/>
    <w:rsid w:val="00624F80"/>
    <w:rsid w:val="00627D52"/>
    <w:rsid w:val="00635BB3"/>
    <w:rsid w:val="00640C88"/>
    <w:rsid w:val="006417F9"/>
    <w:rsid w:val="00651880"/>
    <w:rsid w:val="00680DE7"/>
    <w:rsid w:val="00683AC0"/>
    <w:rsid w:val="00697CA0"/>
    <w:rsid w:val="006C79CD"/>
    <w:rsid w:val="006D225B"/>
    <w:rsid w:val="006E0053"/>
    <w:rsid w:val="007008B2"/>
    <w:rsid w:val="00734AEC"/>
    <w:rsid w:val="007355CF"/>
    <w:rsid w:val="00744859"/>
    <w:rsid w:val="00753403"/>
    <w:rsid w:val="00763029"/>
    <w:rsid w:val="00764CBF"/>
    <w:rsid w:val="00793CA5"/>
    <w:rsid w:val="007A6EAE"/>
    <w:rsid w:val="007B40A8"/>
    <w:rsid w:val="007C3B6B"/>
    <w:rsid w:val="007C3E8C"/>
    <w:rsid w:val="007D5F4E"/>
    <w:rsid w:val="007D7DFB"/>
    <w:rsid w:val="007F2000"/>
    <w:rsid w:val="007F4895"/>
    <w:rsid w:val="008263DD"/>
    <w:rsid w:val="008342E2"/>
    <w:rsid w:val="00834A04"/>
    <w:rsid w:val="00837CB5"/>
    <w:rsid w:val="00853023"/>
    <w:rsid w:val="008824A4"/>
    <w:rsid w:val="00886B02"/>
    <w:rsid w:val="008B0025"/>
    <w:rsid w:val="008C42F5"/>
    <w:rsid w:val="008C4B1E"/>
    <w:rsid w:val="008C5E5F"/>
    <w:rsid w:val="008C7C89"/>
    <w:rsid w:val="008D09B1"/>
    <w:rsid w:val="008D48D6"/>
    <w:rsid w:val="009021F6"/>
    <w:rsid w:val="00910815"/>
    <w:rsid w:val="009177D8"/>
    <w:rsid w:val="00920E7E"/>
    <w:rsid w:val="00922E2C"/>
    <w:rsid w:val="00926C89"/>
    <w:rsid w:val="0093701C"/>
    <w:rsid w:val="009503A8"/>
    <w:rsid w:val="00955BB3"/>
    <w:rsid w:val="0096436A"/>
    <w:rsid w:val="009910E1"/>
    <w:rsid w:val="00996215"/>
    <w:rsid w:val="009A2961"/>
    <w:rsid w:val="009B2DB7"/>
    <w:rsid w:val="009D0F64"/>
    <w:rsid w:val="009D602B"/>
    <w:rsid w:val="009E268D"/>
    <w:rsid w:val="009F02DF"/>
    <w:rsid w:val="009F7131"/>
    <w:rsid w:val="00A06AD6"/>
    <w:rsid w:val="00A338F9"/>
    <w:rsid w:val="00A36081"/>
    <w:rsid w:val="00A42141"/>
    <w:rsid w:val="00A4546E"/>
    <w:rsid w:val="00A61F03"/>
    <w:rsid w:val="00A763A4"/>
    <w:rsid w:val="00A8269D"/>
    <w:rsid w:val="00A852AD"/>
    <w:rsid w:val="00A97E7D"/>
    <w:rsid w:val="00AB164F"/>
    <w:rsid w:val="00AD52F2"/>
    <w:rsid w:val="00B00F05"/>
    <w:rsid w:val="00B2183E"/>
    <w:rsid w:val="00B22419"/>
    <w:rsid w:val="00B3234C"/>
    <w:rsid w:val="00B43004"/>
    <w:rsid w:val="00B479CF"/>
    <w:rsid w:val="00B52927"/>
    <w:rsid w:val="00B5704C"/>
    <w:rsid w:val="00B659B3"/>
    <w:rsid w:val="00B72BD7"/>
    <w:rsid w:val="00B77990"/>
    <w:rsid w:val="00BB18BF"/>
    <w:rsid w:val="00BE0EBE"/>
    <w:rsid w:val="00C098B3"/>
    <w:rsid w:val="00C10159"/>
    <w:rsid w:val="00C575EA"/>
    <w:rsid w:val="00C603F9"/>
    <w:rsid w:val="00C7197C"/>
    <w:rsid w:val="00C73E5B"/>
    <w:rsid w:val="00CA5E64"/>
    <w:rsid w:val="00CB4223"/>
    <w:rsid w:val="00CB57F1"/>
    <w:rsid w:val="00CC383D"/>
    <w:rsid w:val="00CD0152"/>
    <w:rsid w:val="00CE184A"/>
    <w:rsid w:val="00CF3EDB"/>
    <w:rsid w:val="00D11E03"/>
    <w:rsid w:val="00D223AA"/>
    <w:rsid w:val="00D46E95"/>
    <w:rsid w:val="00D80BA9"/>
    <w:rsid w:val="00D9731F"/>
    <w:rsid w:val="00DA1B60"/>
    <w:rsid w:val="00DB33CB"/>
    <w:rsid w:val="00DB5941"/>
    <w:rsid w:val="00DB5F02"/>
    <w:rsid w:val="00DC6005"/>
    <w:rsid w:val="00DF5C7D"/>
    <w:rsid w:val="00E25368"/>
    <w:rsid w:val="00E26362"/>
    <w:rsid w:val="00E30530"/>
    <w:rsid w:val="00E3078D"/>
    <w:rsid w:val="00E52BBB"/>
    <w:rsid w:val="00E846AD"/>
    <w:rsid w:val="00E9063F"/>
    <w:rsid w:val="00E94B5B"/>
    <w:rsid w:val="00EA4468"/>
    <w:rsid w:val="00EA5E5C"/>
    <w:rsid w:val="00EA67F4"/>
    <w:rsid w:val="00ED2633"/>
    <w:rsid w:val="00EE08C9"/>
    <w:rsid w:val="00EE3196"/>
    <w:rsid w:val="00EF4810"/>
    <w:rsid w:val="00F1741C"/>
    <w:rsid w:val="00F2039F"/>
    <w:rsid w:val="00F25337"/>
    <w:rsid w:val="00F2589D"/>
    <w:rsid w:val="00F258A2"/>
    <w:rsid w:val="00F2659A"/>
    <w:rsid w:val="00F31064"/>
    <w:rsid w:val="00F33D82"/>
    <w:rsid w:val="00F40992"/>
    <w:rsid w:val="00F504F1"/>
    <w:rsid w:val="00F81C34"/>
    <w:rsid w:val="00F8E2F2"/>
    <w:rsid w:val="00F95B43"/>
    <w:rsid w:val="00FB37BF"/>
    <w:rsid w:val="00FD09DB"/>
    <w:rsid w:val="00FD4E5E"/>
    <w:rsid w:val="00FE2BF0"/>
    <w:rsid w:val="00FE7058"/>
    <w:rsid w:val="01B37270"/>
    <w:rsid w:val="0535ACC4"/>
    <w:rsid w:val="079A5DD2"/>
    <w:rsid w:val="0B23E574"/>
    <w:rsid w:val="0B4A31AA"/>
    <w:rsid w:val="0CF5D27E"/>
    <w:rsid w:val="0EEA4307"/>
    <w:rsid w:val="114ECFA9"/>
    <w:rsid w:val="132A3546"/>
    <w:rsid w:val="134ACB78"/>
    <w:rsid w:val="146C5237"/>
    <w:rsid w:val="148003EC"/>
    <w:rsid w:val="16344D65"/>
    <w:rsid w:val="177DB6C3"/>
    <w:rsid w:val="17E0E66D"/>
    <w:rsid w:val="1B9A89BE"/>
    <w:rsid w:val="1BC85680"/>
    <w:rsid w:val="1D9BB7E2"/>
    <w:rsid w:val="200330AC"/>
    <w:rsid w:val="20A0EA41"/>
    <w:rsid w:val="22F0FF40"/>
    <w:rsid w:val="269FE914"/>
    <w:rsid w:val="2754B72B"/>
    <w:rsid w:val="29BF0AD2"/>
    <w:rsid w:val="2ACB75DF"/>
    <w:rsid w:val="2B09B415"/>
    <w:rsid w:val="2D7B04A2"/>
    <w:rsid w:val="2E6A8054"/>
    <w:rsid w:val="37C7EF10"/>
    <w:rsid w:val="3B734114"/>
    <w:rsid w:val="3C5B2647"/>
    <w:rsid w:val="3F68D9D0"/>
    <w:rsid w:val="3FEBE591"/>
    <w:rsid w:val="4023766B"/>
    <w:rsid w:val="4470FDC2"/>
    <w:rsid w:val="4D3871E2"/>
    <w:rsid w:val="4E026A11"/>
    <w:rsid w:val="4E1EF4F0"/>
    <w:rsid w:val="504167A7"/>
    <w:rsid w:val="50806A1D"/>
    <w:rsid w:val="520E16B3"/>
    <w:rsid w:val="55427497"/>
    <w:rsid w:val="58A4D3DF"/>
    <w:rsid w:val="58F48B06"/>
    <w:rsid w:val="59D6591F"/>
    <w:rsid w:val="5D42C831"/>
    <w:rsid w:val="5FE5E678"/>
    <w:rsid w:val="607198C4"/>
    <w:rsid w:val="61B08663"/>
    <w:rsid w:val="6238D0D1"/>
    <w:rsid w:val="64C2EDFE"/>
    <w:rsid w:val="6A241E37"/>
    <w:rsid w:val="6C726914"/>
    <w:rsid w:val="7010DC00"/>
    <w:rsid w:val="710BB838"/>
    <w:rsid w:val="71F4C73C"/>
    <w:rsid w:val="72DDCE3A"/>
    <w:rsid w:val="7396D516"/>
    <w:rsid w:val="7494E343"/>
    <w:rsid w:val="770F0127"/>
    <w:rsid w:val="7769E775"/>
    <w:rsid w:val="79474DED"/>
    <w:rsid w:val="79F89FED"/>
    <w:rsid w:val="7A3BDE44"/>
    <w:rsid w:val="7D44FAA2"/>
    <w:rsid w:val="7ED08C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1138D"/>
    <w:pPr>
      <w:keepNext/>
      <w:keepLines/>
      <w:spacing w:before="360" w:after="80"/>
      <w:outlineLvl w:val="1"/>
    </w:pPr>
    <w:rPr>
      <w:rFonts w:ascii="Calibri" w:eastAsia="Calibri" w:hAnsi="Calibri" w:cs="Calibri"/>
      <w:b/>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styleId="nfasissutil">
    <w:name w:val="Subtle Emphasis"/>
    <w:basedOn w:val="Fuentedeprrafopredeter"/>
    <w:uiPriority w:val="19"/>
    <w:qFormat/>
    <w:rsid w:val="000B7E87"/>
    <w:rPr>
      <w:i/>
      <w:iCs/>
      <w:color w:val="404040" w:themeColor="text1" w:themeTint="BF"/>
    </w:rPr>
  </w:style>
  <w:style w:type="paragraph" w:styleId="Textoindependiente">
    <w:name w:val="Body Text"/>
    <w:basedOn w:val="Normal"/>
    <w:link w:val="TextoindependienteCar"/>
    <w:uiPriority w:val="1"/>
    <w:qFormat/>
    <w:rsid w:val="009503A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503A8"/>
    <w:rPr>
      <w:rFonts w:ascii="Arial MT" w:eastAsia="Arial MT" w:hAnsi="Arial MT" w:cs="Arial MT"/>
      <w:lang w:val="es-ES"/>
    </w:rPr>
  </w:style>
  <w:style w:type="character" w:customStyle="1" w:styleId="texto1">
    <w:name w:val="texto1"/>
    <w:rsid w:val="009503A8"/>
    <w:rPr>
      <w:rFonts w:ascii="Arial" w:hAnsi="Arial" w:cs="Arial" w:hint="default"/>
      <w:b w:val="0"/>
      <w:bCs w:val="0"/>
      <w:i w:val="0"/>
      <w:iCs w:val="0"/>
      <w:strike w:val="0"/>
      <w:dstrike w:val="0"/>
      <w:color w:val="000000"/>
      <w:sz w:val="16"/>
      <w:szCs w:val="16"/>
      <w:u w:val="none"/>
      <w:effect w:val="none"/>
    </w:rPr>
  </w:style>
  <w:style w:type="paragraph" w:styleId="NormalWeb">
    <w:name w:val="Normal (Web)"/>
    <w:basedOn w:val="Normal"/>
    <w:uiPriority w:val="99"/>
    <w:unhideWhenUsed/>
    <w:rsid w:val="00411FFF"/>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customStyle="1" w:styleId="Ttulo2Car">
    <w:name w:val="Título 2 Car"/>
    <w:basedOn w:val="Fuentedeprrafopredeter"/>
    <w:link w:val="Ttulo2"/>
    <w:uiPriority w:val="9"/>
    <w:semiHidden/>
    <w:rsid w:val="0041138D"/>
    <w:rPr>
      <w:rFonts w:ascii="Calibri" w:eastAsia="Calibri" w:hAnsi="Calibri" w:cs="Calibri"/>
      <w:b/>
      <w:sz w:val="36"/>
      <w:szCs w:val="36"/>
      <w:lang w:eastAsia="es-PE"/>
    </w:rPr>
  </w:style>
  <w:style w:type="paragraph" w:styleId="Revisin">
    <w:name w:val="Revision"/>
    <w:hidden/>
    <w:uiPriority w:val="99"/>
    <w:semiHidden/>
    <w:rsid w:val="00181465"/>
    <w:pPr>
      <w:spacing w:after="0" w:line="240" w:lineRule="auto"/>
    </w:pPr>
  </w:style>
  <w:style w:type="character" w:styleId="Mencinsinresolver">
    <w:name w:val="Unresolved Mention"/>
    <w:basedOn w:val="Fuentedeprrafopredeter"/>
    <w:uiPriority w:val="99"/>
    <w:semiHidden/>
    <w:unhideWhenUsed/>
    <w:rsid w:val="00610496"/>
    <w:rPr>
      <w:color w:val="605E5C"/>
      <w:shd w:val="clear" w:color="auto" w:fill="E1DFDD"/>
    </w:rPr>
  </w:style>
  <w:style w:type="character" w:styleId="Hipervnculovisitado">
    <w:name w:val="FollowedHyperlink"/>
    <w:basedOn w:val="Fuentedeprrafopredeter"/>
    <w:uiPriority w:val="99"/>
    <w:semiHidden/>
    <w:unhideWhenUsed/>
    <w:rsid w:val="00624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8210">
      <w:bodyDiv w:val="1"/>
      <w:marLeft w:val="0"/>
      <w:marRight w:val="0"/>
      <w:marTop w:val="0"/>
      <w:marBottom w:val="0"/>
      <w:divBdr>
        <w:top w:val="none" w:sz="0" w:space="0" w:color="auto"/>
        <w:left w:val="none" w:sz="0" w:space="0" w:color="auto"/>
        <w:bottom w:val="none" w:sz="0" w:space="0" w:color="auto"/>
        <w:right w:val="none" w:sz="0" w:space="0" w:color="auto"/>
      </w:divBdr>
    </w:div>
    <w:div w:id="1111359489">
      <w:bodyDiv w:val="1"/>
      <w:marLeft w:val="0"/>
      <w:marRight w:val="0"/>
      <w:marTop w:val="0"/>
      <w:marBottom w:val="0"/>
      <w:divBdr>
        <w:top w:val="none" w:sz="0" w:space="0" w:color="auto"/>
        <w:left w:val="none" w:sz="0" w:space="0" w:color="auto"/>
        <w:bottom w:val="none" w:sz="0" w:space="0" w:color="auto"/>
        <w:right w:val="none" w:sz="0" w:space="0" w:color="auto"/>
      </w:divBdr>
    </w:div>
    <w:div w:id="18736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hyperlink" Target="https://minedu.gob.pe/curriculo/pdf/curriculo-nacional-de-la-educacion-basica.pdf" TargetMode="External"/><Relationship Id="rId18" Type="http://schemas.openxmlformats.org/officeDocument/2006/relationships/hyperlink" Target="http://www.minedu.gob.pe/p/pdf/rvm-n-054-2021-minedu.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edu.gob.pe/curriculo/pdf/curriculo-nacional-de-la-educacion-basica.pdf" TargetMode="External"/><Relationship Id="rId17" Type="http://schemas.openxmlformats.org/officeDocument/2006/relationships/hyperlink" Target="https://www.minedu.gob.pe/p/app_normatividad.php" TargetMode="External"/><Relationship Id="rId2" Type="http://schemas.openxmlformats.org/officeDocument/2006/relationships/numbering" Target="numbering.xml"/><Relationship Id="rId16" Type="http://schemas.openxmlformats.org/officeDocument/2006/relationships/hyperlink" Target="http://www.construccion.org/normas/rne2012/rne20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b.pe/curriculo-nacional-de-la-educacion-basica.pdf" TargetMode="External"/><Relationship Id="rId5" Type="http://schemas.openxmlformats.org/officeDocument/2006/relationships/webSettings" Target="webSettings.xml"/><Relationship Id="rId15" Type="http://schemas.openxmlformats.org/officeDocument/2006/relationships/hyperlink" Target="https://www.ugel05.gob.pe/sites/default/files/2022-06/31_05mayo2022_OM_061_AGEBATP_ORIENTACIONES_PARA_DESARROLLO_DEL_PROGRAMA_DE_ALFABETIZACION_DE_EBA.pdf" TargetMode="External"/><Relationship Id="rId10" Type="http://schemas.openxmlformats.org/officeDocument/2006/relationships/hyperlink" Target="https://minedu.gob.pe/curriculo/pdf/curriculo-nacional-de-la-educacion-basica.pdf" TargetMode="External"/><Relationship Id="rId19" Type="http://schemas.openxmlformats.org/officeDocument/2006/relationships/hyperlink" Target="http://www.minedu.gob.pe/p/pdf/guia-de-disenio-bioclimatico.pdf" TargetMode="External"/><Relationship Id="rId4" Type="http://schemas.openxmlformats.org/officeDocument/2006/relationships/settings" Target="settings.xml"/><Relationship Id="rId9" Type="http://schemas.openxmlformats.org/officeDocument/2006/relationships/hyperlink" Target="https://www.gob.pe/institucion/minedu/normas-legales/118256-0011-2012-ed" TargetMode="External"/><Relationship Id="rId14" Type="http://schemas.openxmlformats.org/officeDocument/2006/relationships/hyperlink" Target="https://www.ugel05.gob.pe/sites/default/files/2022-06/31_05mayo2022_OM_061_AGEBATP_ORIENTACIONES_PARA_DESARROLLO_DEL_PROGRAMA_DE_ALFABETIZACION_DE_EB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DEB0-A050-4922-B20D-2ACEA34C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1476</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12</cp:revision>
  <dcterms:created xsi:type="dcterms:W3CDTF">2024-06-25T22:08:00Z</dcterms:created>
  <dcterms:modified xsi:type="dcterms:W3CDTF">2025-06-30T23:34:00Z</dcterms:modified>
</cp:coreProperties>
</file>