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6A29" w:rsidRDefault="00AE6A29">
      <w:pPr>
        <w:spacing w:after="0" w:line="240" w:lineRule="auto"/>
      </w:pPr>
    </w:p>
    <w:tbl>
      <w:tblPr>
        <w:tblStyle w:val="a"/>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AE6A29" w14:paraId="74F8642D" w14:textId="77777777">
        <w:tc>
          <w:tcPr>
            <w:tcW w:w="8494" w:type="dxa"/>
          </w:tcPr>
          <w:p w14:paraId="00000002" w14:textId="680AEE2E" w:rsidR="00AE6A29" w:rsidRDefault="001744DA">
            <w:pPr>
              <w:jc w:val="center"/>
              <w:rPr>
                <w:b/>
                <w:sz w:val="26"/>
                <w:szCs w:val="26"/>
              </w:rPr>
            </w:pPr>
            <w:r>
              <w:rPr>
                <w:b/>
                <w:sz w:val="26"/>
                <w:szCs w:val="26"/>
              </w:rPr>
              <w:t xml:space="preserve">INFORMACIÓN DE LOS NIVELES DE SERVICIO Y ESTÁNDARES </w:t>
            </w:r>
          </w:p>
          <w:p w14:paraId="00000003" w14:textId="77777777" w:rsidR="00AE6A29" w:rsidRDefault="001744DA">
            <w:pPr>
              <w:jc w:val="center"/>
            </w:pPr>
            <w:r>
              <w:rPr>
                <w:b/>
                <w:sz w:val="26"/>
                <w:szCs w:val="26"/>
              </w:rPr>
              <w:t>DE CALIDAD POR SERVICIO</w:t>
            </w:r>
          </w:p>
        </w:tc>
      </w:tr>
    </w:tbl>
    <w:p w14:paraId="00000004" w14:textId="77777777" w:rsidR="00AE6A29" w:rsidRDefault="00AE6A29">
      <w:pPr>
        <w:spacing w:after="0" w:line="240" w:lineRule="auto"/>
      </w:pPr>
    </w:p>
    <w:p w14:paraId="00000005" w14:textId="77777777" w:rsidR="00AE6A29" w:rsidRDefault="001744DA">
      <w:pPr>
        <w:spacing w:after="0" w:line="240" w:lineRule="auto"/>
        <w:rPr>
          <w:b/>
        </w:rPr>
      </w:pPr>
      <w:r>
        <w:rPr>
          <w:b/>
        </w:rPr>
        <w:t>I. Datos generales</w:t>
      </w:r>
    </w:p>
    <w:tbl>
      <w:tblPr>
        <w:tblStyle w:val="a0"/>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955"/>
      </w:tblGrid>
      <w:tr w:rsidR="00AE6A29" w14:paraId="7827FC98" w14:textId="77777777">
        <w:tc>
          <w:tcPr>
            <w:tcW w:w="3539" w:type="dxa"/>
          </w:tcPr>
          <w:p w14:paraId="00000006" w14:textId="77777777" w:rsidR="00AE6A29" w:rsidRDefault="001744DA">
            <w:pPr>
              <w:rPr>
                <w:b/>
              </w:rPr>
            </w:pPr>
            <w:r>
              <w:rPr>
                <w:b/>
              </w:rPr>
              <w:t>Nombre de la entidad pública:</w:t>
            </w:r>
          </w:p>
        </w:tc>
        <w:tc>
          <w:tcPr>
            <w:tcW w:w="4955" w:type="dxa"/>
          </w:tcPr>
          <w:p w14:paraId="00000007" w14:textId="77777777" w:rsidR="00AE6A29" w:rsidRDefault="001744DA">
            <w:r>
              <w:rPr>
                <w:rFonts w:ascii="Arial" w:eastAsia="Arial" w:hAnsi="Arial" w:cs="Arial"/>
                <w:color w:val="000000"/>
                <w:sz w:val="18"/>
                <w:szCs w:val="18"/>
              </w:rPr>
              <w:t>Ministerio de Educación</w:t>
            </w:r>
          </w:p>
        </w:tc>
      </w:tr>
      <w:tr w:rsidR="00AE6A29" w14:paraId="311242F0" w14:textId="77777777">
        <w:tc>
          <w:tcPr>
            <w:tcW w:w="3539" w:type="dxa"/>
          </w:tcPr>
          <w:p w14:paraId="00000008" w14:textId="77777777" w:rsidR="00AE6A29" w:rsidRDefault="001744DA">
            <w:pPr>
              <w:rPr>
                <w:b/>
              </w:rPr>
            </w:pPr>
            <w:r>
              <w:rPr>
                <w:b/>
              </w:rPr>
              <w:t>Órgano técnico normativo competente:</w:t>
            </w:r>
          </w:p>
        </w:tc>
        <w:tc>
          <w:tcPr>
            <w:tcW w:w="4955" w:type="dxa"/>
          </w:tcPr>
          <w:p w14:paraId="00000009" w14:textId="77777777" w:rsidR="00AE6A29" w:rsidRDefault="001744DA">
            <w:r>
              <w:rPr>
                <w:rFonts w:ascii="Arial" w:eastAsia="Arial" w:hAnsi="Arial" w:cs="Arial"/>
                <w:color w:val="000000"/>
                <w:sz w:val="18"/>
                <w:szCs w:val="18"/>
              </w:rPr>
              <w:t>Dirección de Normatividad de Infraestructura - DINOR</w:t>
            </w:r>
          </w:p>
        </w:tc>
      </w:tr>
      <w:tr w:rsidR="00AE6A29" w14:paraId="249EC46F" w14:textId="77777777">
        <w:tc>
          <w:tcPr>
            <w:tcW w:w="3539" w:type="dxa"/>
          </w:tcPr>
          <w:p w14:paraId="0000000A" w14:textId="77777777" w:rsidR="00AE6A29" w:rsidRDefault="001744DA">
            <w:pPr>
              <w:rPr>
                <w:b/>
              </w:rPr>
            </w:pPr>
            <w:r>
              <w:rPr>
                <w:b/>
              </w:rPr>
              <w:t xml:space="preserve">Unidad Orgánica </w:t>
            </w:r>
            <w:proofErr w:type="gramStart"/>
            <w:r>
              <w:rPr>
                <w:b/>
              </w:rPr>
              <w:t>Responsable</w:t>
            </w:r>
            <w:proofErr w:type="gramEnd"/>
            <w:r>
              <w:rPr>
                <w:b/>
              </w:rPr>
              <w:t>:</w:t>
            </w:r>
          </w:p>
        </w:tc>
        <w:tc>
          <w:tcPr>
            <w:tcW w:w="4955" w:type="dxa"/>
          </w:tcPr>
          <w:p w14:paraId="0000000B" w14:textId="77777777" w:rsidR="00AE6A29" w:rsidRDefault="001744DA">
            <w:r>
              <w:rPr>
                <w:rFonts w:ascii="Arial" w:eastAsia="Arial" w:hAnsi="Arial" w:cs="Arial"/>
                <w:color w:val="000000"/>
                <w:sz w:val="18"/>
                <w:szCs w:val="18"/>
              </w:rPr>
              <w:t>Dirección de Educación Básica Especial</w:t>
            </w:r>
          </w:p>
        </w:tc>
      </w:tr>
      <w:tr w:rsidR="00AE6A29" w14:paraId="79E2A898" w14:textId="77777777">
        <w:tc>
          <w:tcPr>
            <w:tcW w:w="3539" w:type="dxa"/>
          </w:tcPr>
          <w:p w14:paraId="0000000C" w14:textId="77777777" w:rsidR="00AE6A29" w:rsidRDefault="001744DA">
            <w:pPr>
              <w:rPr>
                <w:b/>
              </w:rPr>
            </w:pPr>
            <w:r>
              <w:rPr>
                <w:b/>
              </w:rPr>
              <w:t>Sector:</w:t>
            </w:r>
          </w:p>
        </w:tc>
        <w:tc>
          <w:tcPr>
            <w:tcW w:w="4955" w:type="dxa"/>
            <w:vAlign w:val="center"/>
          </w:tcPr>
          <w:p w14:paraId="0000000D" w14:textId="77777777" w:rsidR="00AE6A29" w:rsidRDefault="001744DA">
            <w:r>
              <w:rPr>
                <w:rFonts w:ascii="Arial" w:eastAsia="Arial" w:hAnsi="Arial" w:cs="Arial"/>
                <w:color w:val="000000"/>
                <w:sz w:val="18"/>
                <w:szCs w:val="18"/>
              </w:rPr>
              <w:t>Educación</w:t>
            </w:r>
          </w:p>
        </w:tc>
      </w:tr>
      <w:tr w:rsidR="00AE6A29" w14:paraId="076AB9FF" w14:textId="77777777">
        <w:tc>
          <w:tcPr>
            <w:tcW w:w="3539" w:type="dxa"/>
          </w:tcPr>
          <w:p w14:paraId="0000000E" w14:textId="77777777" w:rsidR="00AE6A29" w:rsidRDefault="001744DA">
            <w:pPr>
              <w:rPr>
                <w:b/>
              </w:rPr>
            </w:pPr>
            <w:r>
              <w:rPr>
                <w:b/>
              </w:rPr>
              <w:t>Función:</w:t>
            </w:r>
          </w:p>
        </w:tc>
        <w:tc>
          <w:tcPr>
            <w:tcW w:w="4955" w:type="dxa"/>
            <w:vAlign w:val="center"/>
          </w:tcPr>
          <w:p w14:paraId="0000000F" w14:textId="77777777" w:rsidR="00AE6A29" w:rsidRDefault="001744DA">
            <w:r>
              <w:rPr>
                <w:rFonts w:ascii="Arial" w:eastAsia="Arial" w:hAnsi="Arial" w:cs="Arial"/>
                <w:color w:val="000000"/>
                <w:sz w:val="18"/>
                <w:szCs w:val="18"/>
              </w:rPr>
              <w:t xml:space="preserve">22 </w:t>
            </w:r>
            <w:proofErr w:type="gramStart"/>
            <w:r>
              <w:rPr>
                <w:rFonts w:ascii="Arial" w:eastAsia="Arial" w:hAnsi="Arial" w:cs="Arial"/>
                <w:color w:val="000000"/>
                <w:sz w:val="18"/>
                <w:szCs w:val="18"/>
              </w:rPr>
              <w:t>Educación</w:t>
            </w:r>
            <w:proofErr w:type="gramEnd"/>
          </w:p>
        </w:tc>
      </w:tr>
      <w:tr w:rsidR="00AE6A29" w14:paraId="246E18F8" w14:textId="77777777">
        <w:tc>
          <w:tcPr>
            <w:tcW w:w="3539" w:type="dxa"/>
          </w:tcPr>
          <w:p w14:paraId="00000010" w14:textId="77777777" w:rsidR="00AE6A29" w:rsidRDefault="001744DA">
            <w:pPr>
              <w:rPr>
                <w:b/>
              </w:rPr>
            </w:pPr>
            <w:r>
              <w:rPr>
                <w:b/>
              </w:rPr>
              <w:t>División funcional:</w:t>
            </w:r>
          </w:p>
        </w:tc>
        <w:tc>
          <w:tcPr>
            <w:tcW w:w="4955" w:type="dxa"/>
            <w:vAlign w:val="center"/>
          </w:tcPr>
          <w:p w14:paraId="00000011" w14:textId="77777777" w:rsidR="00AE6A29" w:rsidRDefault="001744DA">
            <w:r>
              <w:rPr>
                <w:rFonts w:ascii="Arial" w:eastAsia="Arial" w:hAnsi="Arial" w:cs="Arial"/>
                <w:color w:val="000000"/>
                <w:sz w:val="18"/>
                <w:szCs w:val="18"/>
              </w:rPr>
              <w:t xml:space="preserve">047 </w:t>
            </w:r>
            <w:proofErr w:type="gramStart"/>
            <w:r>
              <w:rPr>
                <w:rFonts w:ascii="Arial" w:eastAsia="Arial" w:hAnsi="Arial" w:cs="Arial"/>
                <w:color w:val="000000"/>
                <w:sz w:val="18"/>
                <w:szCs w:val="18"/>
              </w:rPr>
              <w:t>Educación</w:t>
            </w:r>
            <w:proofErr w:type="gramEnd"/>
            <w:r>
              <w:rPr>
                <w:rFonts w:ascii="Arial" w:eastAsia="Arial" w:hAnsi="Arial" w:cs="Arial"/>
                <w:color w:val="000000"/>
                <w:sz w:val="18"/>
                <w:szCs w:val="18"/>
              </w:rPr>
              <w:t xml:space="preserve"> Básica</w:t>
            </w:r>
          </w:p>
        </w:tc>
      </w:tr>
      <w:tr w:rsidR="00AE6A29" w14:paraId="2EC0B7D0" w14:textId="77777777">
        <w:tc>
          <w:tcPr>
            <w:tcW w:w="3539" w:type="dxa"/>
          </w:tcPr>
          <w:p w14:paraId="00000012" w14:textId="77777777" w:rsidR="00AE6A29" w:rsidRDefault="001744DA">
            <w:pPr>
              <w:rPr>
                <w:b/>
              </w:rPr>
            </w:pPr>
            <w:r>
              <w:rPr>
                <w:b/>
              </w:rPr>
              <w:t xml:space="preserve">Grupo funcional: </w:t>
            </w:r>
          </w:p>
        </w:tc>
        <w:tc>
          <w:tcPr>
            <w:tcW w:w="4955" w:type="dxa"/>
            <w:vAlign w:val="center"/>
          </w:tcPr>
          <w:p w14:paraId="00000013" w14:textId="77777777" w:rsidR="00AE6A29" w:rsidRDefault="001744DA">
            <w:r>
              <w:rPr>
                <w:rFonts w:ascii="Arial" w:eastAsia="Arial" w:hAnsi="Arial" w:cs="Arial"/>
                <w:color w:val="000000"/>
                <w:sz w:val="18"/>
                <w:szCs w:val="18"/>
              </w:rPr>
              <w:t xml:space="preserve">0107 </w:t>
            </w:r>
            <w:proofErr w:type="gramStart"/>
            <w:r>
              <w:rPr>
                <w:rFonts w:ascii="Arial" w:eastAsia="Arial" w:hAnsi="Arial" w:cs="Arial"/>
                <w:color w:val="000000"/>
                <w:sz w:val="18"/>
                <w:szCs w:val="18"/>
              </w:rPr>
              <w:t>Educación</w:t>
            </w:r>
            <w:proofErr w:type="gramEnd"/>
            <w:r>
              <w:rPr>
                <w:rFonts w:ascii="Arial" w:eastAsia="Arial" w:hAnsi="Arial" w:cs="Arial"/>
                <w:color w:val="000000"/>
                <w:sz w:val="18"/>
                <w:szCs w:val="18"/>
              </w:rPr>
              <w:t xml:space="preserve"> Básica Especial</w:t>
            </w:r>
          </w:p>
        </w:tc>
      </w:tr>
      <w:tr w:rsidR="00AE6A29" w14:paraId="3258789C" w14:textId="77777777">
        <w:tc>
          <w:tcPr>
            <w:tcW w:w="3539" w:type="dxa"/>
          </w:tcPr>
          <w:p w14:paraId="00000014" w14:textId="77777777" w:rsidR="00AE6A29" w:rsidRDefault="001744DA">
            <w:pPr>
              <w:rPr>
                <w:b/>
              </w:rPr>
            </w:pPr>
            <w:r>
              <w:rPr>
                <w:b/>
              </w:rPr>
              <w:t>Servicio asociado:</w:t>
            </w:r>
          </w:p>
        </w:tc>
        <w:tc>
          <w:tcPr>
            <w:tcW w:w="4955" w:type="dxa"/>
            <w:vAlign w:val="center"/>
          </w:tcPr>
          <w:p w14:paraId="00000015" w14:textId="77777777" w:rsidR="00AE6A29" w:rsidRDefault="001744DA">
            <w:r>
              <w:rPr>
                <w:rFonts w:ascii="Arial" w:eastAsia="Arial" w:hAnsi="Arial" w:cs="Arial"/>
                <w:color w:val="000000"/>
                <w:sz w:val="18"/>
                <w:szCs w:val="18"/>
              </w:rPr>
              <w:t>Servicio de Educación Básica Especial - CEBE</w:t>
            </w:r>
          </w:p>
        </w:tc>
      </w:tr>
      <w:tr w:rsidR="00AE6A29" w14:paraId="0717CE8B" w14:textId="77777777">
        <w:tc>
          <w:tcPr>
            <w:tcW w:w="3539" w:type="dxa"/>
          </w:tcPr>
          <w:p w14:paraId="00000016" w14:textId="77777777" w:rsidR="00AE6A29" w:rsidRDefault="001744DA">
            <w:pPr>
              <w:rPr>
                <w:b/>
              </w:rPr>
            </w:pPr>
            <w:r>
              <w:rPr>
                <w:b/>
              </w:rPr>
              <w:t>Tipología de proyecto de inversión:</w:t>
            </w:r>
          </w:p>
        </w:tc>
        <w:tc>
          <w:tcPr>
            <w:tcW w:w="4955" w:type="dxa"/>
            <w:vAlign w:val="center"/>
          </w:tcPr>
          <w:p w14:paraId="00000017" w14:textId="77777777" w:rsidR="00AE6A29" w:rsidRDefault="001744DA">
            <w:pPr>
              <w:tabs>
                <w:tab w:val="left" w:pos="3110"/>
              </w:tabs>
            </w:pPr>
            <w:r>
              <w:rPr>
                <w:rFonts w:ascii="Arial" w:eastAsia="Arial" w:hAnsi="Arial" w:cs="Arial"/>
                <w:color w:val="000000"/>
                <w:sz w:val="18"/>
                <w:szCs w:val="18"/>
              </w:rPr>
              <w:t>Educación Básica Especial - CEBE</w:t>
            </w:r>
          </w:p>
        </w:tc>
      </w:tr>
    </w:tbl>
    <w:p w14:paraId="00000018" w14:textId="77777777" w:rsidR="00AE6A29" w:rsidRDefault="00AE6A29">
      <w:pPr>
        <w:spacing w:after="0" w:line="240" w:lineRule="auto"/>
      </w:pPr>
    </w:p>
    <w:p w14:paraId="00000019" w14:textId="77777777" w:rsidR="00AE6A29" w:rsidRDefault="001744DA">
      <w:pPr>
        <w:spacing w:after="0" w:line="240" w:lineRule="auto"/>
        <w:rPr>
          <w:b/>
        </w:rPr>
      </w:pPr>
      <w:r>
        <w:rPr>
          <w:b/>
        </w:rPr>
        <w:t>II. Datos sobre el servicio</w:t>
      </w:r>
    </w:p>
    <w:tbl>
      <w:tblPr>
        <w:tblStyle w:val="a1"/>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9"/>
      </w:tblGrid>
      <w:tr w:rsidR="00AE6A29" w14:paraId="375B641E" w14:textId="77777777" w:rsidTr="069ACA0B">
        <w:trPr>
          <w:trHeight w:val="260"/>
        </w:trPr>
        <w:tc>
          <w:tcPr>
            <w:tcW w:w="8529" w:type="dxa"/>
            <w:tcBorders>
              <w:top w:val="single" w:sz="4" w:space="0" w:color="000000" w:themeColor="text1"/>
              <w:left w:val="single" w:sz="4" w:space="0" w:color="000000" w:themeColor="text1"/>
            </w:tcBorders>
            <w:shd w:val="clear" w:color="auto" w:fill="000000" w:themeFill="text1"/>
          </w:tcPr>
          <w:p w14:paraId="0000001A" w14:textId="77777777" w:rsidR="00AE6A29" w:rsidRDefault="001744DA">
            <w:pPr>
              <w:rPr>
                <w:b/>
              </w:rPr>
            </w:pPr>
            <w:r>
              <w:rPr>
                <w:b/>
              </w:rPr>
              <w:t>Definición del Servicio con brecha priorizada</w:t>
            </w:r>
          </w:p>
        </w:tc>
      </w:tr>
      <w:tr w:rsidR="00AE6A29" w:rsidRPr="00D31962" w14:paraId="481CA086" w14:textId="77777777" w:rsidTr="069ACA0B">
        <w:trPr>
          <w:trHeight w:val="841"/>
        </w:trPr>
        <w:tc>
          <w:tcPr>
            <w:tcW w:w="8529" w:type="dxa"/>
            <w:tcBorders>
              <w:left w:val="single" w:sz="4" w:space="0" w:color="000000" w:themeColor="text1"/>
            </w:tcBorders>
          </w:tcPr>
          <w:p w14:paraId="0000001B" w14:textId="44D058F2" w:rsidR="00AE6A29" w:rsidRDefault="00AE6A29">
            <w:pPr>
              <w:rPr>
                <w:b/>
              </w:rPr>
            </w:pPr>
          </w:p>
          <w:p w14:paraId="0000001C" w14:textId="77777777" w:rsidR="00AE6A29" w:rsidRDefault="001744DA">
            <w:r>
              <w:rPr>
                <w:b/>
              </w:rPr>
              <w:t>Descripción</w:t>
            </w:r>
            <w:r>
              <w:t>:</w:t>
            </w:r>
          </w:p>
          <w:p w14:paraId="4329CD9D" w14:textId="77777777" w:rsidR="00EE4E1A" w:rsidRDefault="00EE4E1A">
            <w:pPr>
              <w:jc w:val="both"/>
              <w:rPr>
                <w:b/>
              </w:rPr>
            </w:pPr>
          </w:p>
          <w:p w14:paraId="0000001E" w14:textId="03BB4A9B" w:rsidR="00AE6A29" w:rsidRDefault="001744DA">
            <w:pPr>
              <w:jc w:val="both"/>
              <w:rPr>
                <w:b/>
              </w:rPr>
            </w:pPr>
            <w:r>
              <w:rPr>
                <w:b/>
              </w:rPr>
              <w:t>Servicio de Educación Básica Especial - CEBE</w:t>
            </w:r>
          </w:p>
          <w:p w14:paraId="0000001F" w14:textId="77777777" w:rsidR="00AE6A29" w:rsidRDefault="00AE6A29">
            <w:pPr>
              <w:jc w:val="both"/>
            </w:pPr>
          </w:p>
          <w:p w14:paraId="1D67D956" w14:textId="7ED872BE" w:rsidR="00045B37" w:rsidRDefault="001744DA" w:rsidP="00374180">
            <w:pPr>
              <w:pStyle w:val="Sinespaciado"/>
              <w:jc w:val="both"/>
              <w:rPr>
                <w:rFonts w:asciiTheme="minorHAnsi" w:hAnsiTheme="minorHAnsi" w:cstheme="minorHAnsi"/>
                <w:i/>
              </w:rPr>
            </w:pPr>
            <w:r w:rsidRPr="00374180">
              <w:rPr>
                <w:rFonts w:asciiTheme="minorHAnsi" w:hAnsiTheme="minorHAnsi" w:cstheme="minorHAnsi"/>
                <w:i/>
              </w:rPr>
              <w:t>“</w:t>
            </w:r>
            <w:r w:rsidR="00045B37" w:rsidRPr="00374180">
              <w:rPr>
                <w:rFonts w:asciiTheme="minorHAnsi" w:hAnsiTheme="minorHAnsi" w:cstheme="minorHAnsi"/>
                <w:i/>
              </w:rPr>
              <w:t>La Educación Básica Especial tiene un enfoque inclusivo y atiende a personas con necesidades educativas especiales, con el fin de conseguir su inclusión en la vida comunitaria y su participación en la sociedad. Se dirige a:</w:t>
            </w:r>
          </w:p>
          <w:p w14:paraId="660D17DC" w14:textId="77777777" w:rsidR="00EE4E1A" w:rsidRPr="00374180" w:rsidRDefault="00EE4E1A" w:rsidP="00374180">
            <w:pPr>
              <w:pStyle w:val="Sinespaciado"/>
              <w:jc w:val="both"/>
              <w:rPr>
                <w:rFonts w:asciiTheme="minorHAnsi" w:hAnsiTheme="minorHAnsi" w:cstheme="minorHAnsi"/>
                <w:i/>
              </w:rPr>
            </w:pPr>
          </w:p>
          <w:p w14:paraId="3409728A" w14:textId="77777777" w:rsidR="00045B37" w:rsidRPr="00374180" w:rsidRDefault="00045B37" w:rsidP="00374180">
            <w:pPr>
              <w:pStyle w:val="Sinespaciado"/>
              <w:jc w:val="both"/>
              <w:rPr>
                <w:rFonts w:asciiTheme="minorHAnsi" w:hAnsiTheme="minorHAnsi" w:cstheme="minorHAnsi"/>
                <w:i/>
              </w:rPr>
            </w:pPr>
            <w:r w:rsidRPr="00374180">
              <w:rPr>
                <w:rFonts w:asciiTheme="minorHAnsi" w:hAnsiTheme="minorHAnsi" w:cstheme="minorHAnsi"/>
                <w:i/>
              </w:rPr>
              <w:t>     a) Personas que tienen un tipo de discapacidad que dificulte un aprendizaje regular.</w:t>
            </w:r>
          </w:p>
          <w:p w14:paraId="697BD7BF" w14:textId="77777777" w:rsidR="00045B37" w:rsidRPr="00374180" w:rsidRDefault="00045B37" w:rsidP="00374180">
            <w:pPr>
              <w:pStyle w:val="Sinespaciado"/>
              <w:jc w:val="both"/>
              <w:rPr>
                <w:rFonts w:asciiTheme="minorHAnsi" w:hAnsiTheme="minorHAnsi" w:cstheme="minorHAnsi"/>
                <w:i/>
              </w:rPr>
            </w:pPr>
            <w:r w:rsidRPr="00374180">
              <w:rPr>
                <w:rFonts w:asciiTheme="minorHAnsi" w:hAnsiTheme="minorHAnsi" w:cstheme="minorHAnsi"/>
                <w:i/>
              </w:rPr>
              <w:t>     b) Niños, niñas y adolescentes superdotados o con talentos específicos.</w:t>
            </w:r>
          </w:p>
          <w:p w14:paraId="3D786B18" w14:textId="77777777" w:rsidR="00EE4E1A" w:rsidRDefault="00EE4E1A" w:rsidP="00374180">
            <w:pPr>
              <w:pStyle w:val="Sinespaciado"/>
              <w:jc w:val="both"/>
              <w:rPr>
                <w:rFonts w:asciiTheme="minorHAnsi" w:hAnsiTheme="minorHAnsi" w:cstheme="minorHAnsi"/>
                <w:i/>
              </w:rPr>
            </w:pPr>
          </w:p>
          <w:p w14:paraId="4F109C64" w14:textId="1F593CA6" w:rsidR="00045B37" w:rsidRPr="00374180" w:rsidRDefault="00045B37" w:rsidP="7813D907">
            <w:pPr>
              <w:pStyle w:val="Sinespaciado"/>
              <w:jc w:val="both"/>
              <w:rPr>
                <w:rFonts w:asciiTheme="minorHAnsi" w:hAnsiTheme="minorHAnsi" w:cstheme="minorBidi"/>
              </w:rPr>
            </w:pPr>
            <w:r w:rsidRPr="7813D907">
              <w:rPr>
                <w:rFonts w:asciiTheme="minorHAnsi" w:hAnsiTheme="minorHAnsi" w:cstheme="minorBidi"/>
                <w:i/>
                <w:iCs/>
              </w:rPr>
              <w:t xml:space="preserve">En ambos casos se imparte con miras a su inclusión en aulas regulares, sin perjuicio de la atención complementaria y personalizada que requieran.” </w:t>
            </w:r>
            <w:r w:rsidRPr="7813D907">
              <w:rPr>
                <w:rFonts w:asciiTheme="minorHAnsi" w:hAnsiTheme="minorHAnsi" w:cstheme="minorBidi"/>
              </w:rPr>
              <w:t xml:space="preserve">(Norma 1) </w:t>
            </w:r>
          </w:p>
          <w:p w14:paraId="43774386" w14:textId="68896B07" w:rsidR="00045B37" w:rsidRPr="00374180" w:rsidRDefault="00045B37" w:rsidP="00374180">
            <w:pPr>
              <w:pStyle w:val="NormalWeb"/>
              <w:jc w:val="both"/>
              <w:rPr>
                <w:rFonts w:asciiTheme="minorHAnsi" w:hAnsiTheme="minorHAnsi" w:cstheme="minorHAnsi"/>
                <w:i/>
                <w:sz w:val="22"/>
                <w:szCs w:val="22"/>
              </w:rPr>
            </w:pPr>
            <w:r w:rsidRPr="00374180">
              <w:rPr>
                <w:rFonts w:asciiTheme="minorHAnsi" w:hAnsiTheme="minorHAnsi" w:cstheme="minorHAnsi"/>
                <w:i/>
                <w:sz w:val="22"/>
                <w:szCs w:val="22"/>
              </w:rPr>
              <w:t>“La Educación Básica Especial (EBE) promueve la inclusión, permanencia, tránsito y culminación en el sistema educativo de las personas en condición de discapacidad y con talento y superdotación (altas capacidades), con el fin de garantizar su desarrollo y plena participación en la vida comunitaria, política, económica, social, cultural y tecnológica. La familia es un agente directamente involucrado en este proceso clave.</w:t>
            </w:r>
          </w:p>
          <w:p w14:paraId="51664990" w14:textId="2BD985BF" w:rsidR="00045B37" w:rsidRPr="00374180" w:rsidRDefault="00045B37" w:rsidP="7813D907">
            <w:pPr>
              <w:pStyle w:val="NormalWeb"/>
              <w:jc w:val="both"/>
              <w:rPr>
                <w:rFonts w:asciiTheme="minorHAnsi" w:hAnsiTheme="minorHAnsi" w:cstheme="minorBidi"/>
                <w:i/>
                <w:iCs/>
                <w:sz w:val="22"/>
                <w:szCs w:val="22"/>
              </w:rPr>
            </w:pPr>
            <w:r w:rsidRPr="7813D907">
              <w:rPr>
                <w:rFonts w:asciiTheme="minorHAnsi" w:hAnsiTheme="minorHAnsi" w:cstheme="minorBidi"/>
                <w:i/>
                <w:iCs/>
                <w:sz w:val="22"/>
                <w:szCs w:val="22"/>
              </w:rPr>
              <w:t xml:space="preserve">La EBE es una modalidad transversal que se articula de manera flexible con todos los ciclos, niveles, modalidades y etapas educativas, para la generación de las condiciones necesarias para la atención de las personas con discapacidad y con talento y superdotación (altas capacidades), desde un enfoque inclusivo.” </w:t>
            </w:r>
            <w:r w:rsidRPr="7813D907">
              <w:rPr>
                <w:rFonts w:asciiTheme="minorHAnsi" w:hAnsiTheme="minorHAnsi" w:cstheme="minorBidi"/>
                <w:sz w:val="22"/>
                <w:szCs w:val="22"/>
              </w:rPr>
              <w:t>(Norma 2)</w:t>
            </w:r>
          </w:p>
          <w:p w14:paraId="00000024" w14:textId="7F6639BA" w:rsidR="00AE6A29" w:rsidRDefault="001744DA">
            <w:pPr>
              <w:jc w:val="both"/>
            </w:pPr>
            <w:r w:rsidRPr="7813D907">
              <w:rPr>
                <w:i/>
                <w:iCs/>
              </w:rPr>
              <w:t xml:space="preserve">“Centro de Educación Básica Especial (CEBE) es la institución educativa que brinda un servicio educativo especializado y transdisciplinario a niños, niñas, adolescentes, jóvenes y adultos con discapacidad severa que requieren apoyos permanentes y especializados para garantizar su acceso a la educación en igualdad de oportunidades que el resto de estudiantes. El CEBE tiene por objetivo garantizar el desarrollo integral de las y los estudiantes con discapacidad severa que requieren apoyo permanente y especializado, en el marco del currículo nacional de educación básica, para permitir su plena participación como miembros de la comunidad. Para </w:t>
            </w:r>
            <w:r w:rsidRPr="7813D907">
              <w:rPr>
                <w:i/>
                <w:iCs/>
              </w:rPr>
              <w:lastRenderedPageBreak/>
              <w:t>ello, cuenta con un equipo especializado e interdisciplinario compuesto por docentes, auxiliares, tecnólogos médicos, psicólogos, entre otros profesionales, mediadores y otros agentes. Los CEBE participan en el proceso de inclusión educativa de los estudiantes con discapacidad severa en la educación básica regular y alternativa y técnico-productiva</w:t>
            </w:r>
            <w:r w:rsidR="00BD6D1C">
              <w:rPr>
                <w:i/>
                <w:iCs/>
              </w:rPr>
              <w:t>.</w:t>
            </w:r>
            <w:r w:rsidRPr="7813D907">
              <w:rPr>
                <w:i/>
                <w:iCs/>
              </w:rPr>
              <w:t>”</w:t>
            </w:r>
            <w:r>
              <w:t xml:space="preserve"> (Norma </w:t>
            </w:r>
            <w:r w:rsidR="44BFBAA0">
              <w:t>3</w:t>
            </w:r>
            <w:r>
              <w:t>)</w:t>
            </w:r>
          </w:p>
          <w:p w14:paraId="5CD8FCDB" w14:textId="77777777" w:rsidR="00BD6D1C" w:rsidRDefault="00BD6D1C">
            <w:pPr>
              <w:rPr>
                <w:b/>
              </w:rPr>
            </w:pPr>
          </w:p>
          <w:p w14:paraId="00000027" w14:textId="7631500D" w:rsidR="00AE6A29" w:rsidRPr="002D469E" w:rsidRDefault="001744DA">
            <w:pPr>
              <w:rPr>
                <w:b/>
              </w:rPr>
            </w:pPr>
            <w:r w:rsidRPr="002D469E">
              <w:rPr>
                <w:b/>
              </w:rPr>
              <w:t>Norma Legal:</w:t>
            </w:r>
          </w:p>
          <w:p w14:paraId="4BDFADC6" w14:textId="77777777" w:rsidR="00357BFA" w:rsidRPr="002D469E" w:rsidRDefault="00357BFA">
            <w:pPr>
              <w:jc w:val="both"/>
            </w:pPr>
          </w:p>
          <w:p w14:paraId="4AF8C5FD" w14:textId="4ED46232" w:rsidR="00BB52D1" w:rsidRDefault="001744DA">
            <w:pPr>
              <w:jc w:val="both"/>
            </w:pPr>
            <w:r w:rsidRPr="002D469E">
              <w:t>(</w:t>
            </w:r>
            <w:r w:rsidR="00B70BC5" w:rsidRPr="002D469E">
              <w:t xml:space="preserve">Norma </w:t>
            </w:r>
            <w:r w:rsidRPr="002D469E">
              <w:t xml:space="preserve">1) </w:t>
            </w:r>
            <w:r w:rsidR="00BB52D1">
              <w:t xml:space="preserve">Artículo 39 de la Ley </w:t>
            </w:r>
            <w:proofErr w:type="spellStart"/>
            <w:r w:rsidR="00BB52D1">
              <w:t>N°</w:t>
            </w:r>
            <w:proofErr w:type="spellEnd"/>
            <w:r w:rsidR="00BB52D1">
              <w:t xml:space="preserve"> 28044, Ley General de Educación y sus modificatorias.</w:t>
            </w:r>
          </w:p>
          <w:p w14:paraId="11761087" w14:textId="00CAF395" w:rsidR="00374180" w:rsidRPr="00101EFF" w:rsidRDefault="00374180">
            <w:pPr>
              <w:jc w:val="both"/>
              <w:rPr>
                <w:lang w:val="en-US"/>
              </w:rPr>
            </w:pPr>
            <w:r w:rsidRPr="00101EFF">
              <w:rPr>
                <w:lang w:val="en-US"/>
              </w:rPr>
              <w:t xml:space="preserve">Link: </w:t>
            </w:r>
            <w:hyperlink r:id="rId9" w:history="1">
              <w:r w:rsidR="009F6754" w:rsidRPr="003D5746">
                <w:rPr>
                  <w:rStyle w:val="Hipervnculo"/>
                  <w:lang w:val="en-US"/>
                </w:rPr>
                <w:t>http://www.minedu.gob.pe/p/ley_general_de_educacion_28044.pdf</w:t>
              </w:r>
            </w:hyperlink>
          </w:p>
          <w:p w14:paraId="0000002B" w14:textId="77777777" w:rsidR="00AE6A29" w:rsidRPr="002D469E" w:rsidRDefault="00AE6A29">
            <w:pPr>
              <w:jc w:val="both"/>
              <w:rPr>
                <w:lang w:val="en-US"/>
              </w:rPr>
            </w:pPr>
          </w:p>
          <w:p w14:paraId="2BD0D307" w14:textId="7090C2EF" w:rsidR="00AC72E9" w:rsidRDefault="00AC72E9">
            <w:pPr>
              <w:jc w:val="both"/>
            </w:pPr>
            <w:r>
              <w:t>(Norma 2) Artículo 74</w:t>
            </w:r>
            <w:r w:rsidR="009F6754">
              <w:t xml:space="preserve"> </w:t>
            </w:r>
            <w:r>
              <w:t xml:space="preserve">del Reglamento de la Ley </w:t>
            </w:r>
            <w:proofErr w:type="spellStart"/>
            <w:r w:rsidR="00BB52D1">
              <w:t>N°</w:t>
            </w:r>
            <w:proofErr w:type="spellEnd"/>
            <w:r w:rsidR="00BB52D1">
              <w:t xml:space="preserve"> 28044, Ley </w:t>
            </w:r>
            <w:r>
              <w:t>General de Educación, aprobado por D</w:t>
            </w:r>
            <w:r w:rsidR="00BB52D1">
              <w:t xml:space="preserve">ecreto </w:t>
            </w:r>
            <w:r>
              <w:t>S</w:t>
            </w:r>
            <w:r w:rsidR="00BB52D1">
              <w:t xml:space="preserve">upremo </w:t>
            </w:r>
            <w:proofErr w:type="spellStart"/>
            <w:r>
              <w:t>Nº</w:t>
            </w:r>
            <w:proofErr w:type="spellEnd"/>
            <w:r>
              <w:t xml:space="preserve"> 011-2012-ED y sus modificatorias</w:t>
            </w:r>
            <w:r w:rsidR="00BB52D1">
              <w:t>.</w:t>
            </w:r>
          </w:p>
          <w:p w14:paraId="32AD389B" w14:textId="61983B88" w:rsidR="001C0F92" w:rsidRDefault="001C0F92">
            <w:pPr>
              <w:jc w:val="both"/>
              <w:rPr>
                <w:lang w:val="en-US"/>
              </w:rPr>
            </w:pPr>
            <w:r w:rsidRPr="7813D907">
              <w:rPr>
                <w:lang w:val="en-US"/>
              </w:rPr>
              <w:t xml:space="preserve">Link 1: </w:t>
            </w:r>
            <w:hyperlink r:id="rId10">
              <w:r w:rsidRPr="7813D907">
                <w:rPr>
                  <w:rStyle w:val="Hipervnculo"/>
                  <w:lang w:val="en-US"/>
                </w:rPr>
                <w:t>https://www.gob.pe/institucion/minedu/normas-legales/118256-0011-2012-ed</w:t>
              </w:r>
            </w:hyperlink>
          </w:p>
          <w:p w14:paraId="46E8EF85" w14:textId="77777777" w:rsidR="00BD6D1C" w:rsidRPr="00101EFF" w:rsidRDefault="001C0F92" w:rsidP="00DE71F4">
            <w:pPr>
              <w:jc w:val="both"/>
              <w:rPr>
                <w:rStyle w:val="Hipervnculo"/>
                <w:lang w:val="en-US"/>
              </w:rPr>
            </w:pPr>
            <w:r w:rsidRPr="00101EFF">
              <w:rPr>
                <w:lang w:val="en-US"/>
              </w:rPr>
              <w:t>Link 2</w:t>
            </w:r>
            <w:r w:rsidR="004655F2" w:rsidRPr="00101EFF">
              <w:rPr>
                <w:lang w:val="en-US"/>
              </w:rPr>
              <w:t>:</w:t>
            </w:r>
            <w:r w:rsidR="00BD6D1C" w:rsidRPr="00101EFF">
              <w:rPr>
                <w:lang w:val="en-US"/>
              </w:rPr>
              <w:t xml:space="preserve"> </w:t>
            </w:r>
            <w:hyperlink r:id="rId11">
              <w:r w:rsidR="003253B6" w:rsidRPr="00101EFF">
                <w:rPr>
                  <w:rStyle w:val="Hipervnculo"/>
                  <w:lang w:val="en-US"/>
                </w:rPr>
                <w:t>https://www.gob.pe/institucion/minedu/normas-legales/2138240-007-2021-minedu</w:t>
              </w:r>
            </w:hyperlink>
          </w:p>
          <w:p w14:paraId="47DFF7C6" w14:textId="77777777" w:rsidR="00BD6D1C" w:rsidRPr="00101EFF" w:rsidRDefault="00BD6D1C" w:rsidP="00DE71F4">
            <w:pPr>
              <w:jc w:val="both"/>
              <w:rPr>
                <w:rStyle w:val="Hipervnculo"/>
                <w:lang w:val="en-US"/>
              </w:rPr>
            </w:pPr>
          </w:p>
          <w:p w14:paraId="272B754E" w14:textId="71398CEB" w:rsidR="00DE71F4" w:rsidDel="009F6754" w:rsidRDefault="001744DA" w:rsidP="00DE71F4">
            <w:pPr>
              <w:jc w:val="both"/>
            </w:pPr>
            <w:r>
              <w:t>(</w:t>
            </w:r>
            <w:r w:rsidR="00B70BC5">
              <w:t xml:space="preserve">Norma </w:t>
            </w:r>
            <w:r w:rsidR="00374180">
              <w:t>3</w:t>
            </w:r>
            <w:r>
              <w:t xml:space="preserve">) </w:t>
            </w:r>
            <w:r w:rsidR="0008454F">
              <w:t>Literal b) del a</w:t>
            </w:r>
            <w:r w:rsidR="00DE71F4">
              <w:t>rtículo 84 del Reglamento de la Ley</w:t>
            </w:r>
            <w:r w:rsidR="0008454F">
              <w:t xml:space="preserve"> </w:t>
            </w:r>
            <w:proofErr w:type="spellStart"/>
            <w:r w:rsidR="0008454F">
              <w:t>N°</w:t>
            </w:r>
            <w:proofErr w:type="spellEnd"/>
            <w:r w:rsidR="0008454F">
              <w:t xml:space="preserve"> 28044, Ley </w:t>
            </w:r>
            <w:r w:rsidR="00DE71F4">
              <w:t>General de Educación, aprobado por D</w:t>
            </w:r>
            <w:r w:rsidR="0008454F">
              <w:t xml:space="preserve">ecreto </w:t>
            </w:r>
            <w:r w:rsidR="00DE71F4">
              <w:t>S</w:t>
            </w:r>
            <w:r w:rsidR="0008454F">
              <w:t xml:space="preserve">upremo </w:t>
            </w:r>
            <w:proofErr w:type="spellStart"/>
            <w:r w:rsidR="00DE71F4">
              <w:t>Nº</w:t>
            </w:r>
            <w:proofErr w:type="spellEnd"/>
            <w:r w:rsidR="00DE71F4">
              <w:t xml:space="preserve"> 011-2012-ED y sus modificatorias</w:t>
            </w:r>
            <w:r w:rsidR="0008454F">
              <w:t>.</w:t>
            </w:r>
          </w:p>
          <w:p w14:paraId="1E2E3ACC" w14:textId="25F0C96D" w:rsidR="00DE71F4" w:rsidRPr="00101EFF" w:rsidRDefault="00DE71F4" w:rsidP="0008454F">
            <w:pPr>
              <w:jc w:val="both"/>
              <w:rPr>
                <w:lang w:val="en-US"/>
              </w:rPr>
            </w:pPr>
            <w:r w:rsidRPr="7813D907">
              <w:rPr>
                <w:lang w:val="en-US"/>
              </w:rPr>
              <w:t xml:space="preserve">Link: </w:t>
            </w:r>
            <w:hyperlink r:id="rId12" w:history="1">
              <w:r w:rsidR="00374180" w:rsidRPr="7813D907">
                <w:rPr>
                  <w:rStyle w:val="Hipervnculo"/>
                  <w:lang w:val="en-US"/>
                </w:rPr>
                <w:t>http://www.minedu.gob.pe/files/3896_201207100937.pdf</w:t>
              </w:r>
            </w:hyperlink>
            <w:r w:rsidR="00374180" w:rsidRPr="7813D907">
              <w:rPr>
                <w:lang w:val="en-US"/>
              </w:rPr>
              <w:t xml:space="preserve"> </w:t>
            </w:r>
          </w:p>
          <w:p w14:paraId="00000032" w14:textId="77777777" w:rsidR="00AE6A29" w:rsidRPr="00101EFF" w:rsidRDefault="00AE6A29">
            <w:pPr>
              <w:jc w:val="both"/>
              <w:rPr>
                <w:lang w:val="en-US"/>
              </w:rPr>
            </w:pPr>
          </w:p>
        </w:tc>
      </w:tr>
      <w:tr w:rsidR="00AE6A29" w14:paraId="47E0323E" w14:textId="77777777" w:rsidTr="069ACA0B">
        <w:trPr>
          <w:trHeight w:val="260"/>
        </w:trPr>
        <w:tc>
          <w:tcPr>
            <w:tcW w:w="8529" w:type="dxa"/>
            <w:tcBorders>
              <w:left w:val="single" w:sz="4" w:space="0" w:color="000000" w:themeColor="text1"/>
            </w:tcBorders>
            <w:shd w:val="clear" w:color="auto" w:fill="000000" w:themeFill="text1"/>
          </w:tcPr>
          <w:p w14:paraId="00000033" w14:textId="7523B0EE" w:rsidR="00AE6A29" w:rsidRDefault="001744DA">
            <w:r>
              <w:rPr>
                <w:b/>
              </w:rPr>
              <w:lastRenderedPageBreak/>
              <w:t>Nivel de Servicio</w:t>
            </w:r>
          </w:p>
        </w:tc>
      </w:tr>
      <w:tr w:rsidR="00AE6A29" w:rsidRPr="00D31962" w14:paraId="7EF43EEC" w14:textId="77777777" w:rsidTr="069ACA0B">
        <w:trPr>
          <w:trHeight w:val="260"/>
        </w:trPr>
        <w:tc>
          <w:tcPr>
            <w:tcW w:w="8529" w:type="dxa"/>
            <w:tcBorders>
              <w:left w:val="single" w:sz="4" w:space="0" w:color="000000" w:themeColor="text1"/>
            </w:tcBorders>
          </w:tcPr>
          <w:p w14:paraId="00000034" w14:textId="77777777" w:rsidR="00AE6A29" w:rsidRDefault="00AE6A29">
            <w:pPr>
              <w:rPr>
                <w:b/>
              </w:rPr>
            </w:pPr>
          </w:p>
          <w:p w14:paraId="00000035" w14:textId="77777777" w:rsidR="00AE6A29" w:rsidRDefault="001744DA" w:rsidP="00EE4E1A">
            <w:r>
              <w:rPr>
                <w:b/>
              </w:rPr>
              <w:t>Descripción</w:t>
            </w:r>
            <w:r>
              <w:t>:</w:t>
            </w:r>
          </w:p>
          <w:p w14:paraId="00000036" w14:textId="77777777" w:rsidR="00AE6A29" w:rsidRDefault="00AE6A29" w:rsidP="00EE4E1A">
            <w:pPr>
              <w:pBdr>
                <w:top w:val="nil"/>
                <w:left w:val="nil"/>
                <w:bottom w:val="nil"/>
                <w:right w:val="nil"/>
                <w:between w:val="nil"/>
              </w:pBdr>
              <w:ind w:left="1080"/>
              <w:rPr>
                <w:color w:val="000000"/>
                <w:sz w:val="14"/>
                <w:szCs w:val="14"/>
              </w:rPr>
            </w:pPr>
          </w:p>
          <w:p w14:paraId="28EFD73C" w14:textId="5A4E41D0" w:rsidR="00272A31" w:rsidRDefault="001744DA" w:rsidP="00EE4E1A">
            <w:pPr>
              <w:jc w:val="both"/>
            </w:pPr>
            <w:r>
              <w:t>Para el servicio de Educación Básica Especial</w:t>
            </w:r>
            <w:r w:rsidR="00EE4E1A">
              <w:t>,</w:t>
            </w:r>
            <w:r>
              <w:t xml:space="preserve"> se identificó como nivel de servicio</w:t>
            </w:r>
            <w:r w:rsidRPr="7813D907">
              <w:rPr>
                <w:rStyle w:val="Refdenotaalpie"/>
              </w:rPr>
              <w:footnoteReference w:id="1"/>
            </w:r>
            <w:r>
              <w:t xml:space="preserve"> en el marco del </w:t>
            </w:r>
            <w:r w:rsidR="00272A31">
              <w:t>Sistema Nacional de Programación Multianual y Gestión de Inversiones (SNPMGI)</w:t>
            </w:r>
            <w:r w:rsidR="00EE4E1A">
              <w:t xml:space="preserve"> lo siguiente:</w:t>
            </w:r>
          </w:p>
          <w:p w14:paraId="00000038" w14:textId="14838D5A" w:rsidR="00AE6A29" w:rsidRDefault="00AE6A29" w:rsidP="00EE4E1A">
            <w:pPr>
              <w:jc w:val="both"/>
            </w:pPr>
          </w:p>
          <w:p w14:paraId="00000039" w14:textId="01E48C2C" w:rsidR="00AE6A29" w:rsidRDefault="001744DA" w:rsidP="7813D907">
            <w:pPr>
              <w:jc w:val="both"/>
              <w:rPr>
                <w:b/>
                <w:bCs/>
              </w:rPr>
            </w:pPr>
            <w:r w:rsidRPr="7813D907">
              <w:rPr>
                <w:b/>
                <w:bCs/>
              </w:rPr>
              <w:t>i. Nivel de servicio para Centros de Educación Básica Especial</w:t>
            </w:r>
            <w:r w:rsidR="1169CE4B" w:rsidRPr="7813D907">
              <w:rPr>
                <w:b/>
                <w:bCs/>
              </w:rPr>
              <w:t xml:space="preserve"> (CEBE)</w:t>
            </w:r>
          </w:p>
          <w:p w14:paraId="0000003A" w14:textId="77777777" w:rsidR="00AE6A29" w:rsidRDefault="00AE6A29" w:rsidP="00EE4E1A">
            <w:pPr>
              <w:jc w:val="both"/>
            </w:pPr>
          </w:p>
          <w:p w14:paraId="6381BB90" w14:textId="7B849BF4" w:rsidR="00374180" w:rsidRDefault="00CF27A5">
            <w:pPr>
              <w:jc w:val="both"/>
            </w:pPr>
            <w:r>
              <w:t xml:space="preserve">El CEBE atiende a niñas, niños, adolescentes y jóvenes con discapacidad intelectual severa que requieren apoyos permanentes y especializados desde los tres (3) hasta los veinte (20) </w:t>
            </w:r>
            <w:r w:rsidR="00BD6D1C">
              <w:t>años</w:t>
            </w:r>
            <w:r>
              <w:t xml:space="preserve"> como máximo. El objetivo es </w:t>
            </w:r>
            <w:r w:rsidR="7EAD7B0E">
              <w:t>g</w:t>
            </w:r>
            <w:r>
              <w:t xml:space="preserve">arantizar el desarrollo integral de estudiantes con discapacidad intelectual severa que requieren apoyos permanentes y especializados, en el marco del currículo nacional vigente, para permitir su plena participación como integrantes de la comunidad.  Dentro de su estructura orgánica, el CEBE considera a los SAANEE, los cuales brindan orientación y acompañamiento a las IE que incluyen a estudiantes con discapacidad y altas capacidades en su área de influencia en tanto se implementan los Servicios de Apoyo Educativo. (Norma </w:t>
            </w:r>
            <w:r w:rsidR="1E439758">
              <w:t>4</w:t>
            </w:r>
            <w:r>
              <w:t>)</w:t>
            </w:r>
          </w:p>
          <w:p w14:paraId="639A2116" w14:textId="77777777" w:rsidR="00CF27A5" w:rsidRDefault="00CF27A5">
            <w:pPr>
              <w:jc w:val="both"/>
            </w:pPr>
          </w:p>
          <w:p w14:paraId="0000004F" w14:textId="6B876476" w:rsidR="00AE6A29" w:rsidRDefault="001744DA">
            <w:pPr>
              <w:rPr>
                <w:b/>
              </w:rPr>
            </w:pPr>
            <w:r w:rsidRPr="002D469E">
              <w:rPr>
                <w:b/>
              </w:rPr>
              <w:t>Norma</w:t>
            </w:r>
            <w:r w:rsidR="00272A31">
              <w:rPr>
                <w:b/>
              </w:rPr>
              <w:t>s</w:t>
            </w:r>
            <w:r w:rsidRPr="002D469E">
              <w:rPr>
                <w:b/>
              </w:rPr>
              <w:t xml:space="preserve"> Legal</w:t>
            </w:r>
            <w:r w:rsidR="00272A31">
              <w:rPr>
                <w:b/>
              </w:rPr>
              <w:t>es</w:t>
            </w:r>
            <w:r w:rsidRPr="002D469E">
              <w:rPr>
                <w:b/>
              </w:rPr>
              <w:t>:</w:t>
            </w:r>
          </w:p>
          <w:p w14:paraId="26963C8F" w14:textId="77777777" w:rsidR="00374180" w:rsidRPr="002D469E" w:rsidRDefault="00374180">
            <w:pPr>
              <w:rPr>
                <w:b/>
              </w:rPr>
            </w:pPr>
          </w:p>
          <w:p w14:paraId="7393E325" w14:textId="295FD535" w:rsidR="00CF27A5" w:rsidRPr="00101EFF" w:rsidRDefault="00374180" w:rsidP="006B5DCE">
            <w:pPr>
              <w:jc w:val="both"/>
              <w:rPr>
                <w:color w:val="0070C0"/>
              </w:rPr>
            </w:pPr>
            <w:r>
              <w:t>(</w:t>
            </w:r>
            <w:r w:rsidR="00CF27A5">
              <w:t xml:space="preserve">Norma </w:t>
            </w:r>
            <w:r w:rsidR="40C7ABB2">
              <w:t>4</w:t>
            </w:r>
            <w:r w:rsidR="00CF27A5">
              <w:t>) numeral 5.1.5 de</w:t>
            </w:r>
            <w:r w:rsidR="5495316F">
              <w:t xml:space="preserve"> la norma técnica</w:t>
            </w:r>
            <w:r w:rsidR="6E3138EE">
              <w:t xml:space="preserve"> denominada</w:t>
            </w:r>
            <w:r w:rsidR="00CF27A5">
              <w:t xml:space="preserve"> “Disposiciones para la organización y funcion</w:t>
            </w:r>
            <w:r w:rsidR="75A0E73E">
              <w:t>amiento</w:t>
            </w:r>
            <w:r w:rsidR="00CF27A5">
              <w:t xml:space="preserve"> de los PRITE y CEBE, SAANEE, PANETS y CREBE”</w:t>
            </w:r>
            <w:r w:rsidR="36A4F4EC">
              <w:t>, aprobad</w:t>
            </w:r>
            <w:r w:rsidR="60E20D44">
              <w:t>a</w:t>
            </w:r>
            <w:r w:rsidR="36A4F4EC">
              <w:t xml:space="preserve"> por Resolución Viceministerial </w:t>
            </w:r>
            <w:proofErr w:type="spellStart"/>
            <w:r w:rsidR="36A4F4EC">
              <w:t>N°</w:t>
            </w:r>
            <w:proofErr w:type="spellEnd"/>
            <w:r w:rsidR="36A4F4EC">
              <w:t xml:space="preserve"> 151-2023-MINEDU.</w:t>
            </w:r>
          </w:p>
          <w:p w14:paraId="0B7E0100" w14:textId="77777777" w:rsidR="00CF27A5" w:rsidRDefault="00CF27A5" w:rsidP="00CF27A5">
            <w:pPr>
              <w:rPr>
                <w:rStyle w:val="Hipervnculo"/>
                <w:lang w:val="en-US"/>
              </w:rPr>
            </w:pPr>
            <w:r w:rsidRPr="00101EFF">
              <w:rPr>
                <w:lang w:val="en-US"/>
              </w:rPr>
              <w:t xml:space="preserve">Link: </w:t>
            </w:r>
            <w:hyperlink r:id="rId13" w:history="1">
              <w:r w:rsidRPr="00101EFF">
                <w:rPr>
                  <w:rStyle w:val="Hipervnculo"/>
                  <w:lang w:val="en-US"/>
                </w:rPr>
                <w:t>https://www.gob.pe/institucion/minedu/normas-legales/4771769-151-2023-minedu</w:t>
              </w:r>
            </w:hyperlink>
          </w:p>
          <w:p w14:paraId="17AED91F" w14:textId="77777777" w:rsidR="000571B6" w:rsidRPr="00101EFF" w:rsidRDefault="000571B6" w:rsidP="00CF27A5">
            <w:pPr>
              <w:rPr>
                <w:lang w:val="en-US"/>
              </w:rPr>
            </w:pPr>
          </w:p>
          <w:p w14:paraId="00000062" w14:textId="77777777" w:rsidR="00AE6A29" w:rsidRPr="00CE64FF" w:rsidRDefault="00AE6A29">
            <w:pPr>
              <w:rPr>
                <w:sz w:val="12"/>
                <w:szCs w:val="12"/>
                <w:lang w:val="en-US"/>
              </w:rPr>
            </w:pPr>
          </w:p>
        </w:tc>
      </w:tr>
      <w:tr w:rsidR="00AE6A29" w14:paraId="6D3A876A" w14:textId="77777777" w:rsidTr="069ACA0B">
        <w:trPr>
          <w:trHeight w:val="260"/>
        </w:trPr>
        <w:tc>
          <w:tcPr>
            <w:tcW w:w="8529" w:type="dxa"/>
            <w:tcBorders>
              <w:left w:val="single" w:sz="4" w:space="0" w:color="000000" w:themeColor="text1"/>
            </w:tcBorders>
            <w:shd w:val="clear" w:color="auto" w:fill="000000" w:themeFill="text1"/>
          </w:tcPr>
          <w:p w14:paraId="00000063" w14:textId="754785D5" w:rsidR="00AE6A29" w:rsidRDefault="001744DA">
            <w:r w:rsidRPr="7813D907">
              <w:rPr>
                <w:b/>
                <w:bCs/>
              </w:rPr>
              <w:lastRenderedPageBreak/>
              <w:t>Estándares de Calidad</w:t>
            </w:r>
          </w:p>
        </w:tc>
      </w:tr>
      <w:tr w:rsidR="00AE6A29" w14:paraId="7969E1B8" w14:textId="77777777" w:rsidTr="069ACA0B">
        <w:trPr>
          <w:trHeight w:val="260"/>
        </w:trPr>
        <w:tc>
          <w:tcPr>
            <w:tcW w:w="8529" w:type="dxa"/>
            <w:tcBorders>
              <w:left w:val="single" w:sz="4" w:space="0" w:color="000000" w:themeColor="text1"/>
              <w:bottom w:val="single" w:sz="4" w:space="0" w:color="000000" w:themeColor="text1"/>
            </w:tcBorders>
          </w:tcPr>
          <w:p w14:paraId="00000064" w14:textId="77777777" w:rsidR="00AE6A29" w:rsidRDefault="00AE6A29">
            <w:pPr>
              <w:rPr>
                <w:b/>
              </w:rPr>
            </w:pPr>
          </w:p>
          <w:p w14:paraId="00000065" w14:textId="77777777" w:rsidR="00AE6A29" w:rsidRDefault="001744DA">
            <w:r>
              <w:rPr>
                <w:b/>
              </w:rPr>
              <w:t>Descripción</w:t>
            </w:r>
            <w:r>
              <w:t>:</w:t>
            </w:r>
          </w:p>
          <w:p w14:paraId="00000066" w14:textId="77777777" w:rsidR="00AE6A29" w:rsidRDefault="00AE6A29">
            <w:pPr>
              <w:rPr>
                <w:b/>
              </w:rPr>
            </w:pPr>
          </w:p>
          <w:p w14:paraId="00000067" w14:textId="2F8CB838" w:rsidR="00AE6A29" w:rsidRDefault="001744DA">
            <w:pPr>
              <w:jc w:val="both"/>
            </w:pPr>
            <w:r>
              <w:t>Para el servicio de Educación Básica Especial – CEBE</w:t>
            </w:r>
            <w:r w:rsidR="00EE4E1A">
              <w:t>,</w:t>
            </w:r>
            <w:r>
              <w:t xml:space="preserve"> se identificaron los siguientes estándares de calidad en el marco del </w:t>
            </w:r>
            <w:r w:rsidR="00272A31">
              <w:t>SNPMGI</w:t>
            </w:r>
            <w:r>
              <w:t>:</w:t>
            </w:r>
          </w:p>
          <w:p w14:paraId="00000068" w14:textId="77777777" w:rsidR="00AE6A29" w:rsidRDefault="00AE6A29">
            <w:pPr>
              <w:jc w:val="both"/>
            </w:pPr>
          </w:p>
          <w:p w14:paraId="567ABA83" w14:textId="2FB58C29" w:rsidR="00272A31" w:rsidRPr="00B43EF4" w:rsidRDefault="00272A31" w:rsidP="00B43EF4">
            <w:pPr>
              <w:pStyle w:val="Prrafodelista"/>
              <w:numPr>
                <w:ilvl w:val="0"/>
                <w:numId w:val="8"/>
              </w:numPr>
              <w:ind w:left="306" w:hanging="284"/>
              <w:rPr>
                <w:b/>
                <w:bCs/>
              </w:rPr>
            </w:pPr>
            <w:r w:rsidRPr="00B43EF4">
              <w:rPr>
                <w:b/>
                <w:bCs/>
              </w:rPr>
              <w:t xml:space="preserve">Reglamento Nacional de Edificaciones </w:t>
            </w:r>
          </w:p>
          <w:p w14:paraId="02CE5CA3" w14:textId="77777777" w:rsidR="00B43EF4" w:rsidRPr="00B43EF4" w:rsidRDefault="00B43EF4" w:rsidP="00B43EF4">
            <w:pPr>
              <w:rPr>
                <w:b/>
              </w:rPr>
            </w:pPr>
          </w:p>
          <w:p w14:paraId="385C557A" w14:textId="024B8335" w:rsidR="00272A31" w:rsidRPr="006B5DCE" w:rsidRDefault="002A2E97" w:rsidP="006B5DCE">
            <w:pPr>
              <w:jc w:val="both"/>
            </w:pPr>
            <w:r>
              <w:t>Norma</w:t>
            </w:r>
            <w:r w:rsidR="00272A31" w:rsidRPr="069ACA0B">
              <w:t xml:space="preserve">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w:t>
            </w:r>
            <w:r w:rsidR="7E3E1E99" w:rsidRPr="006B5DCE">
              <w:t xml:space="preserve"> (Norma 5)</w:t>
            </w:r>
          </w:p>
          <w:p w14:paraId="3D520DE1" w14:textId="1AA2A6B8" w:rsidR="00272A31" w:rsidRDefault="00272A31" w:rsidP="00272A31">
            <w:pPr>
              <w:pStyle w:val="Prrafodelista"/>
              <w:jc w:val="both"/>
            </w:pPr>
          </w:p>
          <w:p w14:paraId="744232F8" w14:textId="56654A96" w:rsidR="00374180" w:rsidRPr="002D469E" w:rsidRDefault="00374180" w:rsidP="069ACA0B">
            <w:pPr>
              <w:jc w:val="both"/>
              <w:rPr>
                <w:b/>
                <w:bCs/>
              </w:rPr>
            </w:pPr>
            <w:proofErr w:type="spellStart"/>
            <w:r w:rsidRPr="069ACA0B">
              <w:rPr>
                <w:b/>
                <w:bCs/>
              </w:rPr>
              <w:t>ii</w:t>
            </w:r>
            <w:proofErr w:type="spellEnd"/>
            <w:r w:rsidRPr="069ACA0B">
              <w:rPr>
                <w:b/>
                <w:bCs/>
              </w:rPr>
              <w:t>. Norma técnica “Criterios Generales de Diseño de Infraestructura Educativa”, que establece, entre otros, lo siguiente:</w:t>
            </w:r>
          </w:p>
          <w:p w14:paraId="2AAA5C64" w14:textId="77777777" w:rsidR="00374180" w:rsidRPr="002D469E" w:rsidRDefault="00374180" w:rsidP="00374180">
            <w:pPr>
              <w:jc w:val="both"/>
              <w:rPr>
                <w:b/>
              </w:rPr>
            </w:pPr>
          </w:p>
          <w:p w14:paraId="0C1A78D3" w14:textId="77777777" w:rsidR="00101EFF" w:rsidRPr="00924619" w:rsidRDefault="00101EFF" w:rsidP="00101EFF">
            <w:pPr>
              <w:jc w:val="both"/>
              <w:rPr>
                <w:b/>
                <w:bCs/>
              </w:rPr>
            </w:pPr>
            <w:r w:rsidRPr="00924619">
              <w:t xml:space="preserve">Esta norma establece disposiciones generales para uniformizar conceptos y establecer principios y criterios de análisis, diagnóstico e identificación para todo el proceso de diseño de la infraestructura educativa. </w:t>
            </w:r>
          </w:p>
          <w:p w14:paraId="6E99DFC9" w14:textId="77777777" w:rsidR="00101EFF" w:rsidRDefault="00101EFF" w:rsidP="00101EFF">
            <w:pPr>
              <w:jc w:val="both"/>
            </w:pPr>
          </w:p>
          <w:p w14:paraId="1AD9ECC0" w14:textId="77777777" w:rsidR="00D31962" w:rsidRDefault="00D31962" w:rsidP="00D31962">
            <w:pPr>
              <w:pStyle w:val="Prrafodelista"/>
              <w:numPr>
                <w:ilvl w:val="0"/>
                <w:numId w:val="9"/>
              </w:numPr>
              <w:jc w:val="both"/>
            </w:pPr>
            <w:r>
              <w:t>Principios generales de diseño aplicables a la infraestructura educativa.</w:t>
            </w:r>
          </w:p>
          <w:p w14:paraId="355C4171" w14:textId="77777777" w:rsidR="00D31962" w:rsidRDefault="00D31962" w:rsidP="00D31962">
            <w:pPr>
              <w:pStyle w:val="Prrafodelista"/>
              <w:numPr>
                <w:ilvl w:val="0"/>
                <w:numId w:val="9"/>
              </w:numPr>
              <w:jc w:val="both"/>
            </w:pPr>
            <w:r>
              <w:t>Criterios para el diseño arquitectónico.</w:t>
            </w:r>
          </w:p>
          <w:p w14:paraId="2F474EAA" w14:textId="77777777" w:rsidR="00D31962" w:rsidRDefault="00D31962" w:rsidP="00D31962">
            <w:pPr>
              <w:pStyle w:val="Prrafodelista"/>
              <w:numPr>
                <w:ilvl w:val="0"/>
                <w:numId w:val="9"/>
              </w:numPr>
              <w:jc w:val="both"/>
            </w:pPr>
            <w:r>
              <w:t>Criterios para el diseño estructural</w:t>
            </w:r>
          </w:p>
          <w:p w14:paraId="5DA19597" w14:textId="77777777" w:rsidR="00D31962" w:rsidRDefault="00D31962" w:rsidP="00D31962">
            <w:pPr>
              <w:pStyle w:val="Prrafodelista"/>
              <w:numPr>
                <w:ilvl w:val="0"/>
                <w:numId w:val="9"/>
              </w:numPr>
              <w:jc w:val="both"/>
            </w:pPr>
            <w:r>
              <w:t>Ambientes del local educativo</w:t>
            </w:r>
          </w:p>
          <w:p w14:paraId="1AF4A6C9" w14:textId="77777777" w:rsidR="00D31962" w:rsidRDefault="00D31962" w:rsidP="00D31962">
            <w:pPr>
              <w:pStyle w:val="Prrafodelista"/>
              <w:numPr>
                <w:ilvl w:val="0"/>
                <w:numId w:val="9"/>
              </w:numPr>
              <w:jc w:val="both"/>
            </w:pPr>
            <w:r>
              <w:t>Clasificación de ambientes</w:t>
            </w:r>
          </w:p>
          <w:p w14:paraId="36AF3A32" w14:textId="77777777" w:rsidR="00D31962" w:rsidRDefault="00D31962" w:rsidP="00D31962">
            <w:pPr>
              <w:pStyle w:val="Prrafodelista"/>
              <w:numPr>
                <w:ilvl w:val="0"/>
                <w:numId w:val="9"/>
              </w:numPr>
              <w:jc w:val="both"/>
            </w:pPr>
            <w:r>
              <w:t>Programación arquitectónica del local educativo</w:t>
            </w:r>
          </w:p>
          <w:p w14:paraId="7B586D72" w14:textId="77777777" w:rsidR="00D31962" w:rsidRDefault="00D31962" w:rsidP="00D31962">
            <w:pPr>
              <w:pStyle w:val="Prrafodelista"/>
              <w:numPr>
                <w:ilvl w:val="0"/>
                <w:numId w:val="9"/>
              </w:numPr>
              <w:jc w:val="both"/>
            </w:pPr>
            <w:r>
              <w:t>Mantenimiento</w:t>
            </w:r>
          </w:p>
          <w:p w14:paraId="0A6BB417" w14:textId="7DA23AC7" w:rsidR="00D31962" w:rsidRDefault="00D31962" w:rsidP="00D31962">
            <w:pPr>
              <w:pStyle w:val="Prrafodelista"/>
              <w:numPr>
                <w:ilvl w:val="0"/>
                <w:numId w:val="9"/>
              </w:numPr>
              <w:jc w:val="both"/>
            </w:pPr>
            <w:r>
              <w:t xml:space="preserve">Limpieza, gestión y manejo de residuos sólidos (Norma </w:t>
            </w:r>
            <w:r>
              <w:t>6</w:t>
            </w:r>
            <w:r>
              <w:t>)</w:t>
            </w:r>
          </w:p>
          <w:p w14:paraId="098D7E2D" w14:textId="77777777" w:rsidR="00374180" w:rsidRPr="001669A2" w:rsidRDefault="00374180" w:rsidP="00272A31">
            <w:pPr>
              <w:pStyle w:val="Prrafodelista"/>
              <w:jc w:val="both"/>
            </w:pPr>
          </w:p>
          <w:p w14:paraId="00000069" w14:textId="140AF125" w:rsidR="00AE6A29" w:rsidRDefault="001744DA" w:rsidP="069ACA0B">
            <w:pPr>
              <w:jc w:val="both"/>
              <w:rPr>
                <w:b/>
                <w:bCs/>
              </w:rPr>
            </w:pPr>
            <w:proofErr w:type="spellStart"/>
            <w:r w:rsidRPr="069ACA0B">
              <w:rPr>
                <w:b/>
                <w:bCs/>
              </w:rPr>
              <w:t>i</w:t>
            </w:r>
            <w:r w:rsidR="00374180" w:rsidRPr="069ACA0B">
              <w:rPr>
                <w:b/>
                <w:bCs/>
              </w:rPr>
              <w:t>ii</w:t>
            </w:r>
            <w:proofErr w:type="spellEnd"/>
            <w:r w:rsidRPr="069ACA0B">
              <w:rPr>
                <w:b/>
                <w:bCs/>
              </w:rPr>
              <w:t>. Norma técnica de “Criterios de Diseño para Locales Educativos de Educación Básica Especial”</w:t>
            </w:r>
            <w:r w:rsidR="00272A31" w:rsidRPr="069ACA0B">
              <w:rPr>
                <w:b/>
                <w:bCs/>
              </w:rPr>
              <w:t>, establece entre otros,</w:t>
            </w:r>
            <w:r w:rsidRPr="069ACA0B">
              <w:rPr>
                <w:b/>
                <w:bCs/>
              </w:rPr>
              <w:t xml:space="preserve"> lo siguiente: </w:t>
            </w:r>
          </w:p>
          <w:p w14:paraId="0000006A" w14:textId="77777777" w:rsidR="00AE6A29" w:rsidRPr="002D469E" w:rsidRDefault="00AE6A29">
            <w:pPr>
              <w:jc w:val="both"/>
            </w:pPr>
          </w:p>
          <w:p w14:paraId="0000006B" w14:textId="77777777" w:rsidR="00AE6A29" w:rsidRPr="002D469E" w:rsidRDefault="001744DA" w:rsidP="00EE4E1A">
            <w:pPr>
              <w:ind w:left="733"/>
              <w:jc w:val="both"/>
            </w:pPr>
            <w:r w:rsidRPr="002D469E">
              <w:t>• Establece el análisis para la elección de terrenos y delimitación del área de influencia</w:t>
            </w:r>
          </w:p>
          <w:p w14:paraId="0000006C" w14:textId="77777777" w:rsidR="00AE6A29" w:rsidRPr="002D469E" w:rsidRDefault="001744DA" w:rsidP="00EE4E1A">
            <w:pPr>
              <w:ind w:left="733"/>
              <w:jc w:val="both"/>
            </w:pPr>
            <w:r w:rsidRPr="002D469E">
              <w:t>• Establece criterios de diseño arquitectónico específicos para CEBE</w:t>
            </w:r>
          </w:p>
          <w:p w14:paraId="0000006D" w14:textId="77777777" w:rsidR="00AE6A29" w:rsidRPr="002D469E" w:rsidRDefault="001744DA" w:rsidP="00EE4E1A">
            <w:pPr>
              <w:ind w:left="733"/>
              <w:jc w:val="both"/>
            </w:pPr>
            <w:r w:rsidRPr="002D469E">
              <w:t>• Establece clasificación de ambientes para CEBE</w:t>
            </w:r>
          </w:p>
          <w:p w14:paraId="0000006E" w14:textId="49F6EFBA" w:rsidR="00AE6A29" w:rsidRPr="002D469E" w:rsidRDefault="001744DA" w:rsidP="069ACA0B">
            <w:pPr>
              <w:ind w:left="733"/>
              <w:jc w:val="both"/>
              <w:rPr>
                <w:b/>
                <w:bCs/>
              </w:rPr>
            </w:pPr>
            <w:r>
              <w:t>• Establece criterios para la definición del programa arquitectónico.</w:t>
            </w:r>
            <w:r w:rsidR="6D309851" w:rsidRPr="069ACA0B">
              <w:rPr>
                <w:b/>
                <w:bCs/>
              </w:rPr>
              <w:t xml:space="preserve"> </w:t>
            </w:r>
            <w:r w:rsidR="6D309851" w:rsidRPr="00B43EF4">
              <w:t>(Norma 7)</w:t>
            </w:r>
          </w:p>
          <w:p w14:paraId="3F753418" w14:textId="77777777" w:rsidR="001816BC" w:rsidRDefault="001816BC" w:rsidP="001816BC">
            <w:pPr>
              <w:rPr>
                <w:b/>
              </w:rPr>
            </w:pPr>
          </w:p>
          <w:p w14:paraId="042D0342" w14:textId="7AE927B1" w:rsidR="001816BC" w:rsidRDefault="001816BC" w:rsidP="002A2E97">
            <w:pPr>
              <w:jc w:val="both"/>
            </w:pPr>
            <w:proofErr w:type="spellStart"/>
            <w:r w:rsidRPr="069ACA0B">
              <w:rPr>
                <w:b/>
                <w:bCs/>
              </w:rPr>
              <w:t>iv</w:t>
            </w:r>
            <w:proofErr w:type="spellEnd"/>
            <w:r w:rsidRPr="069ACA0B">
              <w:rPr>
                <w:b/>
                <w:bCs/>
              </w:rPr>
              <w:t>. Criterios de Diseño para Ambientes de Servicios de Alimentación en los Locales Educativos de la Educación Básica</w:t>
            </w:r>
            <w:r w:rsidR="25662DE5" w:rsidRPr="069ACA0B">
              <w:rPr>
                <w:b/>
                <w:bCs/>
              </w:rPr>
              <w:t>:</w:t>
            </w:r>
            <w:r w:rsidRPr="069ACA0B">
              <w:rPr>
                <w:b/>
                <w:bCs/>
              </w:rPr>
              <w:t xml:space="preserve"> </w:t>
            </w:r>
          </w:p>
          <w:p w14:paraId="3AA77BF8" w14:textId="77777777" w:rsidR="002A2E97" w:rsidRDefault="002A2E97" w:rsidP="069ACA0B"/>
          <w:p w14:paraId="2D6BFAF5" w14:textId="0B3BA641" w:rsidR="001816BC" w:rsidRDefault="001816BC" w:rsidP="002A2E97">
            <w:pPr>
              <w:jc w:val="both"/>
            </w:pPr>
            <w:r>
              <w:t>Establece los criterios para el diseño de ambientes destinados al almacenamiento, preparación, expendio y consumo de alimentos en locales educativos de Educación Básica, a fin de asegurar condiciones de funcionalidad, habitabilidad, seguridad, salubridad y sostenibilidad.</w:t>
            </w:r>
            <w:r w:rsidR="42101493" w:rsidRPr="069ACA0B">
              <w:rPr>
                <w:b/>
                <w:bCs/>
              </w:rPr>
              <w:t xml:space="preserve"> </w:t>
            </w:r>
            <w:r w:rsidR="42101493" w:rsidRPr="00B43EF4">
              <w:t>(Norma 8)</w:t>
            </w:r>
          </w:p>
          <w:p w14:paraId="0A65BEB8" w14:textId="7C5247AC" w:rsidR="00101EFF" w:rsidRDefault="00101EFF" w:rsidP="002A2E97">
            <w:pPr>
              <w:jc w:val="both"/>
            </w:pPr>
          </w:p>
          <w:p w14:paraId="58446A7F" w14:textId="5FB240DD" w:rsidR="00101EFF" w:rsidRPr="00B4209E" w:rsidRDefault="00101EFF" w:rsidP="00101EFF">
            <w:pPr>
              <w:jc w:val="both"/>
              <w:rPr>
                <w:b/>
                <w:bCs/>
              </w:rPr>
            </w:pPr>
            <w:r w:rsidRPr="00B4209E">
              <w:rPr>
                <w:b/>
                <w:bCs/>
              </w:rPr>
              <w:t>v. Guía de Estrategias de Diseño Bioclimático para el Confort Térmico</w:t>
            </w:r>
          </w:p>
          <w:p w14:paraId="53B67FD9" w14:textId="77777777" w:rsidR="00101EFF" w:rsidRDefault="00101EFF" w:rsidP="00101EFF">
            <w:pPr>
              <w:jc w:val="both"/>
              <w:rPr>
                <w:b/>
              </w:rPr>
            </w:pPr>
          </w:p>
          <w:p w14:paraId="1B538F63" w14:textId="77777777" w:rsidR="00101EFF" w:rsidRDefault="00101EFF" w:rsidP="00101EFF">
            <w:pPr>
              <w:jc w:val="both"/>
              <w:rPr>
                <w:bCs/>
              </w:rPr>
            </w:pPr>
            <w:r w:rsidRPr="00333203">
              <w:rPr>
                <w:bCs/>
              </w:rPr>
              <w:lastRenderedPageBreak/>
              <w:t>La presente Guía tiene por objetivo brindar</w:t>
            </w:r>
            <w:r>
              <w:rPr>
                <w:bCs/>
              </w:rPr>
              <w:t xml:space="preserve"> orientaciones que coadyuven a lograr el confort térmico en los ambientes interiores del local educativo mediante la aplicación de estrategias generales de diseño bioclimático en los proyectos de infraestructura educativa, acordes con las condiciones climáticas del lugar. Algunos de los puntos que se desarrollan en esta Guía son:</w:t>
            </w:r>
          </w:p>
          <w:p w14:paraId="6FB07D7D" w14:textId="77777777" w:rsidR="00101EFF" w:rsidRDefault="00101EFF" w:rsidP="00101EFF">
            <w:pPr>
              <w:jc w:val="both"/>
              <w:rPr>
                <w:bCs/>
              </w:rPr>
            </w:pPr>
          </w:p>
          <w:p w14:paraId="60CB0AE9" w14:textId="77777777" w:rsidR="00101EFF" w:rsidRDefault="00101EFF" w:rsidP="00101EFF">
            <w:pPr>
              <w:jc w:val="both"/>
            </w:pPr>
            <w:r w:rsidRPr="00AB5711">
              <w:t xml:space="preserve">• </w:t>
            </w:r>
            <w:r>
              <w:t>Variables de confort térmico</w:t>
            </w:r>
          </w:p>
          <w:p w14:paraId="686E7910" w14:textId="77777777" w:rsidR="00101EFF" w:rsidRDefault="00101EFF" w:rsidP="00101EFF">
            <w:pPr>
              <w:jc w:val="both"/>
            </w:pPr>
            <w:r w:rsidRPr="00AB5711">
              <w:t xml:space="preserve">• </w:t>
            </w:r>
            <w:r>
              <w:t>Recomendaciones para determinar la zona de confort térmico</w:t>
            </w:r>
          </w:p>
          <w:p w14:paraId="712754A5" w14:textId="5473207D" w:rsidR="00101EFF" w:rsidRDefault="00101EFF" w:rsidP="00101EFF">
            <w:pPr>
              <w:jc w:val="both"/>
            </w:pPr>
            <w:r w:rsidRPr="00AB5711">
              <w:t xml:space="preserve">• </w:t>
            </w:r>
            <w:r>
              <w:t>Estrategias generales de diseño bioclimático, entre otros (Norma 9)</w:t>
            </w:r>
          </w:p>
          <w:p w14:paraId="7B947F7A" w14:textId="77777777" w:rsidR="00101EFF" w:rsidRDefault="00101EFF" w:rsidP="002A2E97">
            <w:pPr>
              <w:jc w:val="both"/>
              <w:rPr>
                <w:b/>
                <w:bCs/>
              </w:rPr>
            </w:pPr>
          </w:p>
          <w:p w14:paraId="4DE2B7F8" w14:textId="46297CEE" w:rsidR="001816BC" w:rsidRDefault="001816BC" w:rsidP="069ACA0B">
            <w:pPr>
              <w:ind w:left="738"/>
              <w:jc w:val="both"/>
            </w:pPr>
          </w:p>
          <w:p w14:paraId="00000088" w14:textId="2E19D2B9" w:rsidR="00AE6A29" w:rsidRDefault="001744DA">
            <w:pPr>
              <w:rPr>
                <w:b/>
              </w:rPr>
            </w:pPr>
            <w:r w:rsidRPr="002D469E">
              <w:rPr>
                <w:b/>
              </w:rPr>
              <w:t>Norma Legal:</w:t>
            </w:r>
          </w:p>
          <w:p w14:paraId="0BE71A5A" w14:textId="77777777" w:rsidR="008906CE" w:rsidRDefault="008906CE">
            <w:pPr>
              <w:rPr>
                <w:b/>
              </w:rPr>
            </w:pPr>
          </w:p>
          <w:p w14:paraId="45E8D14A" w14:textId="6C27D881" w:rsidR="00272A31" w:rsidRDefault="00374180" w:rsidP="00272A31">
            <w:pPr>
              <w:jc w:val="both"/>
            </w:pPr>
            <w:r>
              <w:t>(</w:t>
            </w:r>
            <w:r w:rsidR="00272A31">
              <w:t xml:space="preserve">Norma </w:t>
            </w:r>
            <w:r w:rsidR="00CF27A5">
              <w:t>5</w:t>
            </w:r>
            <w:r w:rsidR="00272A31">
              <w:t xml:space="preserve">) Normas Técnicas del Reglamento Nacional de Edificaciones – RNE, aprobadas con Decreto Supremo </w:t>
            </w:r>
            <w:proofErr w:type="spellStart"/>
            <w:r w:rsidR="00272A31">
              <w:t>N°</w:t>
            </w:r>
            <w:proofErr w:type="spellEnd"/>
            <w:r w:rsidR="00272A31">
              <w:t xml:space="preserve"> 011-2006-VIVIENDA, y sus actualizaciones.</w:t>
            </w:r>
          </w:p>
          <w:p w14:paraId="2FB5C332" w14:textId="0FB1D269" w:rsidR="002B2300" w:rsidRDefault="00272A31" w:rsidP="00272A31">
            <w:pPr>
              <w:rPr>
                <w:rStyle w:val="Hipervnculo"/>
                <w:lang w:val="en-US"/>
              </w:rPr>
            </w:pPr>
            <w:r w:rsidRPr="00197F7E">
              <w:rPr>
                <w:lang w:val="en-US"/>
              </w:rPr>
              <w:t xml:space="preserve">Link: </w:t>
            </w:r>
            <w:hyperlink r:id="rId14" w:history="1">
              <w:r w:rsidRPr="00472B42">
                <w:rPr>
                  <w:rStyle w:val="Hipervnculo"/>
                  <w:lang w:val="en-US"/>
                </w:rPr>
                <w:t>http://www.construccion.org/normas/rne2012/rne2006.htm</w:t>
              </w:r>
            </w:hyperlink>
          </w:p>
          <w:p w14:paraId="33E1C768" w14:textId="77777777" w:rsidR="00272A31" w:rsidRPr="00101EFF" w:rsidRDefault="00272A31" w:rsidP="00272A31">
            <w:pPr>
              <w:rPr>
                <w:lang w:val="en-US"/>
              </w:rPr>
            </w:pPr>
          </w:p>
          <w:p w14:paraId="64FF4D04" w14:textId="55C90C28" w:rsidR="00D31962" w:rsidRDefault="00D31962" w:rsidP="00D31962">
            <w:pPr>
              <w:jc w:val="both"/>
            </w:pPr>
            <w:r>
              <w:t xml:space="preserve">(Norma </w:t>
            </w:r>
            <w:r>
              <w:t>6</w:t>
            </w:r>
            <w:r>
              <w:t xml:space="preserve">) Norma Técnica “Criterios Generales de Diseño para la Infraestructura Educativa”, aprobada con la Resolución Viceministerial </w:t>
            </w:r>
            <w:proofErr w:type="spellStart"/>
            <w:r>
              <w:t>N°</w:t>
            </w:r>
            <w:proofErr w:type="spellEnd"/>
            <w:r>
              <w:t xml:space="preserve"> 068-2025-MINEDU. </w:t>
            </w:r>
          </w:p>
          <w:p w14:paraId="313A7AD5" w14:textId="77777777" w:rsidR="00D31962" w:rsidRDefault="00D31962" w:rsidP="00D31962">
            <w:pPr>
              <w:jc w:val="both"/>
              <w:rPr>
                <w:lang w:val="en-US"/>
              </w:rPr>
            </w:pPr>
            <w:r w:rsidRPr="00197F7E">
              <w:rPr>
                <w:lang w:val="en-US"/>
              </w:rPr>
              <w:t xml:space="preserve">Link: </w:t>
            </w:r>
            <w:hyperlink r:id="rId15" w:history="1">
              <w:r w:rsidRPr="00984747">
                <w:rPr>
                  <w:rStyle w:val="Hipervnculo"/>
                  <w:lang w:val="en-US"/>
                </w:rPr>
                <w:t>https://www.minedu.gob.pe/p/app_normatividad.php</w:t>
              </w:r>
            </w:hyperlink>
          </w:p>
          <w:p w14:paraId="5613D8C1" w14:textId="79B7FC98" w:rsidR="00374180" w:rsidRPr="00101EFF" w:rsidRDefault="00374180" w:rsidP="069ACA0B">
            <w:pPr>
              <w:rPr>
                <w:lang w:val="en-US"/>
              </w:rPr>
            </w:pPr>
          </w:p>
          <w:p w14:paraId="00000089" w14:textId="4F831BDD" w:rsidR="00AE6A29" w:rsidRPr="002D469E" w:rsidRDefault="001744DA">
            <w:pPr>
              <w:jc w:val="both"/>
            </w:pPr>
            <w:r w:rsidRPr="002D469E">
              <w:t>(</w:t>
            </w:r>
            <w:r w:rsidR="002C04C8" w:rsidRPr="002D469E">
              <w:t xml:space="preserve">Norma </w:t>
            </w:r>
            <w:r w:rsidR="00CF27A5">
              <w:t>7</w:t>
            </w:r>
            <w:r w:rsidRPr="002D469E">
              <w:t xml:space="preserve">) Norma técnica “Criterios de Diseño para Locales Educativos de Educación Básica Especial” aprobada por Resolución Viceministerial </w:t>
            </w:r>
            <w:proofErr w:type="spellStart"/>
            <w:r w:rsidRPr="002D469E">
              <w:t>Nº</w:t>
            </w:r>
            <w:proofErr w:type="spellEnd"/>
            <w:r w:rsidRPr="002D469E">
              <w:t xml:space="preserve"> 056-2019-MINEDU.</w:t>
            </w:r>
          </w:p>
          <w:p w14:paraId="0000008A" w14:textId="0D6DACCC" w:rsidR="00AE6A29" w:rsidRPr="002D469E" w:rsidRDefault="001744DA">
            <w:pPr>
              <w:jc w:val="both"/>
              <w:rPr>
                <w:color w:val="0070C0"/>
                <w:lang w:val="en-US"/>
              </w:rPr>
            </w:pPr>
            <w:r w:rsidRPr="002D469E">
              <w:rPr>
                <w:lang w:val="en-US"/>
              </w:rPr>
              <w:t xml:space="preserve">Link: </w:t>
            </w:r>
            <w:r w:rsidRPr="00985EB2">
              <w:rPr>
                <w:color w:val="0070C0"/>
                <w:u w:val="single"/>
                <w:lang w:val="en-US"/>
              </w:rPr>
              <w:t>https://www.gob.pe/institucion/minedu/normas-legales/266990-056-2019-minedu</w:t>
            </w:r>
          </w:p>
          <w:p w14:paraId="0000008B" w14:textId="77777777" w:rsidR="00AE6A29" w:rsidRPr="002D469E" w:rsidRDefault="00AE6A29">
            <w:pPr>
              <w:jc w:val="both"/>
              <w:rPr>
                <w:lang w:val="en-US"/>
              </w:rPr>
            </w:pPr>
          </w:p>
          <w:p w14:paraId="2A9E8B1B" w14:textId="310774DE" w:rsidR="001816BC" w:rsidRPr="001816BC" w:rsidRDefault="001816BC" w:rsidP="001816BC">
            <w:pPr>
              <w:jc w:val="both"/>
              <w:rPr>
                <w:rStyle w:val="Hipervnculo"/>
                <w:color w:val="000000" w:themeColor="text1"/>
                <w:u w:val="none"/>
              </w:rPr>
            </w:pPr>
            <w:r w:rsidRPr="001816BC">
              <w:rPr>
                <w:rStyle w:val="Hipervnculo"/>
                <w:color w:val="000000" w:themeColor="text1"/>
                <w:u w:val="none"/>
              </w:rPr>
              <w:t>(</w:t>
            </w:r>
            <w:r w:rsidRPr="00B4209E">
              <w:t xml:space="preserve">Norma </w:t>
            </w:r>
            <w:r w:rsidR="00CF27A5" w:rsidRPr="00B4209E">
              <w:rPr>
                <w:rStyle w:val="Hipervnculo"/>
                <w:color w:val="auto"/>
                <w:u w:val="none"/>
              </w:rPr>
              <w:t>8</w:t>
            </w:r>
            <w:r w:rsidRPr="00B4209E">
              <w:rPr>
                <w:rStyle w:val="Hipervnculo"/>
                <w:color w:val="auto"/>
                <w:u w:val="none"/>
              </w:rPr>
              <w:t xml:space="preserve">) </w:t>
            </w:r>
            <w:r w:rsidRPr="001816BC">
              <w:rPr>
                <w:rStyle w:val="Hipervnculo"/>
                <w:color w:val="000000" w:themeColor="text1"/>
                <w:u w:val="none"/>
              </w:rPr>
              <w:t xml:space="preserve">Norma Técnica “Criterios de Diseño para Ambientes de Servicios de Alimentación en los Locales Educativos de la Educación Básica”, aprobada con Resolución Viceministerial </w:t>
            </w:r>
            <w:proofErr w:type="spellStart"/>
            <w:r w:rsidRPr="001816BC">
              <w:rPr>
                <w:rStyle w:val="Hipervnculo"/>
                <w:color w:val="000000" w:themeColor="text1"/>
                <w:u w:val="none"/>
              </w:rPr>
              <w:t>N°</w:t>
            </w:r>
            <w:proofErr w:type="spellEnd"/>
            <w:r w:rsidRPr="001816BC">
              <w:rPr>
                <w:rStyle w:val="Hipervnculo"/>
                <w:color w:val="000000" w:themeColor="text1"/>
                <w:u w:val="none"/>
              </w:rPr>
              <w:t xml:space="preserve"> 054-2021-MINEDU</w:t>
            </w:r>
            <w:r w:rsidR="00272A31">
              <w:rPr>
                <w:rStyle w:val="Hipervnculo"/>
                <w:color w:val="000000" w:themeColor="text1"/>
                <w:u w:val="none"/>
              </w:rPr>
              <w:t xml:space="preserve"> y su modificatoria.</w:t>
            </w:r>
          </w:p>
          <w:p w14:paraId="1F4B4900" w14:textId="77777777" w:rsidR="001816BC" w:rsidRPr="00E156BD" w:rsidRDefault="001816BC" w:rsidP="001816BC">
            <w:pPr>
              <w:jc w:val="both"/>
              <w:rPr>
                <w:rStyle w:val="Hipervnculo"/>
                <w:lang w:val="en-US"/>
              </w:rPr>
            </w:pPr>
            <w:r w:rsidRPr="00101EFF">
              <w:rPr>
                <w:rStyle w:val="Hipervnculo"/>
                <w:color w:val="000000" w:themeColor="text1"/>
                <w:u w:val="none"/>
                <w:lang w:val="en-US"/>
              </w:rPr>
              <w:t>Link:</w:t>
            </w:r>
            <w:r w:rsidRPr="001816BC">
              <w:rPr>
                <w:rStyle w:val="Hipervnculo"/>
                <w:u w:val="none"/>
                <w:lang w:val="en-US"/>
              </w:rPr>
              <w:t xml:space="preserve"> </w:t>
            </w:r>
            <w:r w:rsidRPr="00C27BAE">
              <w:rPr>
                <w:rStyle w:val="Hipervnculo"/>
                <w:lang w:val="en-US"/>
              </w:rPr>
              <w:t>http://www.minedu.gob.pe/p/pdf/rvm-n-054-2021-minedu.pdf</w:t>
            </w:r>
          </w:p>
          <w:p w14:paraId="00000097" w14:textId="1B892FC8" w:rsidR="00AE6A29" w:rsidRDefault="30940DC1">
            <w:pPr>
              <w:jc w:val="both"/>
              <w:rPr>
                <w:lang w:val="en-US"/>
              </w:rPr>
            </w:pPr>
            <w:r w:rsidRPr="069ACA0B">
              <w:rPr>
                <w:lang w:val="en-US"/>
              </w:rPr>
              <w:t xml:space="preserve">Link: </w:t>
            </w:r>
            <w:hyperlink r:id="rId16" w:history="1">
              <w:r w:rsidR="00101EFF" w:rsidRPr="00DC7F4D">
                <w:rPr>
                  <w:rStyle w:val="Hipervnculo"/>
                  <w:lang w:val="en-US"/>
                </w:rPr>
                <w:t>https://busquedas.elperuano.pe/dispositivo/NL/2146943-1</w:t>
              </w:r>
            </w:hyperlink>
          </w:p>
          <w:p w14:paraId="3FA0EE24" w14:textId="07C52FBF" w:rsidR="00101EFF" w:rsidRDefault="00101EFF">
            <w:pPr>
              <w:jc w:val="both"/>
              <w:rPr>
                <w:lang w:val="en-US"/>
              </w:rPr>
            </w:pPr>
          </w:p>
          <w:p w14:paraId="1EF72BE7" w14:textId="4DB4F275" w:rsidR="00101EFF" w:rsidRDefault="00101EFF" w:rsidP="00101EFF">
            <w:pPr>
              <w:jc w:val="both"/>
            </w:pPr>
            <w:r>
              <w:t xml:space="preserve">(Norma </w:t>
            </w:r>
            <w:r w:rsidR="000571B6">
              <w:t>9</w:t>
            </w:r>
            <w:r>
              <w:t xml:space="preserve">) Guía de Estrategias de Diseño Bioclimático para el Confort Térmico. </w:t>
            </w:r>
          </w:p>
          <w:p w14:paraId="0B5BFEC9" w14:textId="77777777" w:rsidR="00101EFF" w:rsidRDefault="00101EFF" w:rsidP="00101EFF">
            <w:pPr>
              <w:jc w:val="both"/>
              <w:rPr>
                <w:lang w:val="en-US"/>
              </w:rPr>
            </w:pPr>
            <w:r w:rsidRPr="007C19BE">
              <w:rPr>
                <w:lang w:val="en-US"/>
              </w:rPr>
              <w:t xml:space="preserve">Link: </w:t>
            </w:r>
            <w:hyperlink r:id="rId17" w:history="1">
              <w:r w:rsidRPr="004F627C">
                <w:rPr>
                  <w:rStyle w:val="Hipervnculo"/>
                  <w:lang w:val="en-US"/>
                </w:rPr>
                <w:t>http://www.minedu.gob.pe/p/pdf/guia-de-disenio-bioclimatico.pdf</w:t>
              </w:r>
            </w:hyperlink>
          </w:p>
          <w:p w14:paraId="7C9BCFE2" w14:textId="029C565F" w:rsidR="069ACA0B" w:rsidRPr="00101EFF" w:rsidRDefault="069ACA0B" w:rsidP="069ACA0B">
            <w:pPr>
              <w:jc w:val="both"/>
              <w:rPr>
                <w:lang w:val="en-US"/>
              </w:rPr>
            </w:pPr>
          </w:p>
          <w:p w14:paraId="000000A0" w14:textId="77777777" w:rsidR="00AE6A29" w:rsidRDefault="001744DA">
            <w:pPr>
              <w:jc w:val="both"/>
            </w:pPr>
            <w:bookmarkStart w:id="0" w:name="_heading=h.gjdgxs" w:colFirst="0" w:colLast="0"/>
            <w:bookmarkEnd w:id="0"/>
            <w:r>
              <w:t>La OPMI del Sector Educación puede identificar como estándar de calidad otras normas que considere pertinentes.</w:t>
            </w:r>
          </w:p>
        </w:tc>
      </w:tr>
    </w:tbl>
    <w:p w14:paraId="000000A1" w14:textId="77777777" w:rsidR="00AE6A29" w:rsidRDefault="00AE6A29">
      <w:pPr>
        <w:spacing w:after="0" w:line="240" w:lineRule="auto"/>
      </w:pPr>
    </w:p>
    <w:sectPr w:rsidR="00AE6A29">
      <w:pgSz w:w="11906" w:h="16838"/>
      <w:pgMar w:top="127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308A" w14:textId="77777777" w:rsidR="005644D9" w:rsidRDefault="005644D9">
      <w:pPr>
        <w:spacing w:after="0" w:line="240" w:lineRule="auto"/>
      </w:pPr>
      <w:r>
        <w:separator/>
      </w:r>
    </w:p>
  </w:endnote>
  <w:endnote w:type="continuationSeparator" w:id="0">
    <w:p w14:paraId="1D50CA65" w14:textId="77777777" w:rsidR="005644D9" w:rsidRDefault="0056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3CE4" w14:textId="77777777" w:rsidR="005644D9" w:rsidRDefault="005644D9">
      <w:pPr>
        <w:spacing w:after="0" w:line="240" w:lineRule="auto"/>
      </w:pPr>
      <w:r>
        <w:separator/>
      </w:r>
    </w:p>
  </w:footnote>
  <w:footnote w:type="continuationSeparator" w:id="0">
    <w:p w14:paraId="6A9BC4D3" w14:textId="77777777" w:rsidR="005644D9" w:rsidRDefault="005644D9">
      <w:pPr>
        <w:spacing w:after="0" w:line="240" w:lineRule="auto"/>
      </w:pPr>
      <w:r>
        <w:continuationSeparator/>
      </w:r>
    </w:p>
  </w:footnote>
  <w:footnote w:id="1">
    <w:p w14:paraId="68A10C46" w14:textId="39A2C9E3" w:rsidR="7813D907" w:rsidRDefault="7813D907" w:rsidP="006B5DCE">
      <w:pPr>
        <w:pStyle w:val="Textonotapie"/>
        <w:jc w:val="both"/>
        <w:rPr>
          <w:color w:val="D13438"/>
          <w:sz w:val="16"/>
          <w:szCs w:val="16"/>
        </w:rPr>
      </w:pPr>
      <w:r w:rsidRPr="7813D907">
        <w:rPr>
          <w:rStyle w:val="Refdenotaalpie"/>
        </w:rPr>
        <w:footnoteRef/>
      </w:r>
      <w:r>
        <w:t xml:space="preserve"> </w:t>
      </w:r>
      <w:r w:rsidRPr="006B5DCE">
        <w:rPr>
          <w:sz w:val="16"/>
          <w:szCs w:val="16"/>
        </w:rPr>
        <w:t xml:space="preserve">La Ley </w:t>
      </w:r>
      <w:proofErr w:type="spellStart"/>
      <w:r w:rsidRPr="006B5DCE">
        <w:rPr>
          <w:sz w:val="16"/>
          <w:szCs w:val="16"/>
        </w:rPr>
        <w:t>N°</w:t>
      </w:r>
      <w:proofErr w:type="spellEnd"/>
      <w:r w:rsidRPr="006B5DCE">
        <w:rPr>
          <w:sz w:val="16"/>
          <w:szCs w:val="16"/>
        </w:rPr>
        <w:t xml:space="preserve"> 30772, Ley que promueve la atención educativa integral de los estudiantes en condiciones de hospitalización o con tratamiento ambulatorio de la Educación Básica, su Reglamento aprobado por Decreto Supremo </w:t>
      </w:r>
      <w:proofErr w:type="spellStart"/>
      <w:r w:rsidRPr="006B5DCE">
        <w:rPr>
          <w:sz w:val="16"/>
          <w:szCs w:val="16"/>
        </w:rPr>
        <w:t>N°</w:t>
      </w:r>
      <w:proofErr w:type="spellEnd"/>
      <w:r w:rsidRPr="006B5DCE">
        <w:rPr>
          <w:sz w:val="16"/>
          <w:szCs w:val="16"/>
        </w:rPr>
        <w:t xml:space="preserve"> 003-2020-MINEDU, y la Resolución Viceministerial </w:t>
      </w:r>
      <w:proofErr w:type="spellStart"/>
      <w:r w:rsidRPr="006B5DCE">
        <w:rPr>
          <w:sz w:val="16"/>
          <w:szCs w:val="16"/>
        </w:rPr>
        <w:t>N°</w:t>
      </w:r>
      <w:proofErr w:type="spellEnd"/>
      <w:r w:rsidRPr="006B5DCE">
        <w:rPr>
          <w:sz w:val="16"/>
          <w:szCs w:val="16"/>
        </w:rPr>
        <w:t xml:space="preserve"> 154-2020-MINEDU contienen las disposiciones que regulan el Servicio Educativo Hospitalario, el cual funciona en los establecimientos de salud, por lo cual respecto de dicho servicio no se pueden llevar a cabo inversiones de la función educación.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7313"/>
    <w:multiLevelType w:val="hybridMultilevel"/>
    <w:tmpl w:val="D4E4EF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3075D52"/>
    <w:multiLevelType w:val="hybridMultilevel"/>
    <w:tmpl w:val="E788F102"/>
    <w:lvl w:ilvl="0" w:tplc="76E8FE42">
      <w:numFmt w:val="bullet"/>
      <w:lvlText w:val="•"/>
      <w:lvlJc w:val="left"/>
      <w:pPr>
        <w:ind w:left="1080" w:hanging="72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E9B57A0"/>
    <w:multiLevelType w:val="hybridMultilevel"/>
    <w:tmpl w:val="E9E47C22"/>
    <w:lvl w:ilvl="0" w:tplc="3292837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0F052C2"/>
    <w:multiLevelType w:val="hybridMultilevel"/>
    <w:tmpl w:val="595210E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2E37441"/>
    <w:multiLevelType w:val="hybridMultilevel"/>
    <w:tmpl w:val="5FEAE7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A02211D"/>
    <w:multiLevelType w:val="hybridMultilevel"/>
    <w:tmpl w:val="038EA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2810408"/>
    <w:multiLevelType w:val="hybridMultilevel"/>
    <w:tmpl w:val="D2242BE6"/>
    <w:lvl w:ilvl="0" w:tplc="76E8FE42">
      <w:numFmt w:val="bullet"/>
      <w:lvlText w:val="•"/>
      <w:lvlJc w:val="left"/>
      <w:pPr>
        <w:ind w:left="1080" w:hanging="72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EF54434"/>
    <w:multiLevelType w:val="hybridMultilevel"/>
    <w:tmpl w:val="F98295AC"/>
    <w:lvl w:ilvl="0" w:tplc="6A4E90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7"/>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29"/>
    <w:rsid w:val="00045B37"/>
    <w:rsid w:val="000571B6"/>
    <w:rsid w:val="000712AD"/>
    <w:rsid w:val="0008454F"/>
    <w:rsid w:val="000B04B7"/>
    <w:rsid w:val="000C37F2"/>
    <w:rsid w:val="000D5C41"/>
    <w:rsid w:val="000E1A6C"/>
    <w:rsid w:val="00101EFF"/>
    <w:rsid w:val="00131B19"/>
    <w:rsid w:val="001340DE"/>
    <w:rsid w:val="00162D3F"/>
    <w:rsid w:val="001744DA"/>
    <w:rsid w:val="001816BC"/>
    <w:rsid w:val="001C0F92"/>
    <w:rsid w:val="00242E13"/>
    <w:rsid w:val="002563A5"/>
    <w:rsid w:val="00272A31"/>
    <w:rsid w:val="00273A32"/>
    <w:rsid w:val="0027717D"/>
    <w:rsid w:val="00290CB2"/>
    <w:rsid w:val="00291077"/>
    <w:rsid w:val="002A2E97"/>
    <w:rsid w:val="002B2300"/>
    <w:rsid w:val="002C04C8"/>
    <w:rsid w:val="002C0E55"/>
    <w:rsid w:val="002D469E"/>
    <w:rsid w:val="00315449"/>
    <w:rsid w:val="00317A56"/>
    <w:rsid w:val="00317DD2"/>
    <w:rsid w:val="003238F8"/>
    <w:rsid w:val="003253B6"/>
    <w:rsid w:val="00351DCB"/>
    <w:rsid w:val="00357BFA"/>
    <w:rsid w:val="00366A29"/>
    <w:rsid w:val="00374180"/>
    <w:rsid w:val="003D23C0"/>
    <w:rsid w:val="003F3063"/>
    <w:rsid w:val="004655F2"/>
    <w:rsid w:val="00465C9F"/>
    <w:rsid w:val="004B3795"/>
    <w:rsid w:val="00510C91"/>
    <w:rsid w:val="005644D9"/>
    <w:rsid w:val="005A1E45"/>
    <w:rsid w:val="005D5AC4"/>
    <w:rsid w:val="005E0E9E"/>
    <w:rsid w:val="0061668E"/>
    <w:rsid w:val="006353A7"/>
    <w:rsid w:val="006652A9"/>
    <w:rsid w:val="00671E38"/>
    <w:rsid w:val="006A50A1"/>
    <w:rsid w:val="006B5DCE"/>
    <w:rsid w:val="006F3C7B"/>
    <w:rsid w:val="00726B20"/>
    <w:rsid w:val="007550C1"/>
    <w:rsid w:val="00761472"/>
    <w:rsid w:val="00770DFA"/>
    <w:rsid w:val="00800424"/>
    <w:rsid w:val="008906CE"/>
    <w:rsid w:val="008937B2"/>
    <w:rsid w:val="008A319D"/>
    <w:rsid w:val="008F196F"/>
    <w:rsid w:val="00985EB2"/>
    <w:rsid w:val="009F6754"/>
    <w:rsid w:val="00A41450"/>
    <w:rsid w:val="00A6251D"/>
    <w:rsid w:val="00AC72E9"/>
    <w:rsid w:val="00AE6A29"/>
    <w:rsid w:val="00AF73DC"/>
    <w:rsid w:val="00B4209E"/>
    <w:rsid w:val="00B43EF4"/>
    <w:rsid w:val="00B70BC5"/>
    <w:rsid w:val="00BB52D1"/>
    <w:rsid w:val="00BD6D1C"/>
    <w:rsid w:val="00C225F5"/>
    <w:rsid w:val="00C8102D"/>
    <w:rsid w:val="00C85A02"/>
    <w:rsid w:val="00C97E18"/>
    <w:rsid w:val="00CD3E57"/>
    <w:rsid w:val="00CE64FF"/>
    <w:rsid w:val="00CF0C11"/>
    <w:rsid w:val="00CF27A5"/>
    <w:rsid w:val="00CF5C4A"/>
    <w:rsid w:val="00CF6382"/>
    <w:rsid w:val="00D31410"/>
    <w:rsid w:val="00D31962"/>
    <w:rsid w:val="00D84AF7"/>
    <w:rsid w:val="00D85FE4"/>
    <w:rsid w:val="00DE71F4"/>
    <w:rsid w:val="00E02A2C"/>
    <w:rsid w:val="00E86B17"/>
    <w:rsid w:val="00EE4E1A"/>
    <w:rsid w:val="00F0574B"/>
    <w:rsid w:val="00F827B4"/>
    <w:rsid w:val="00F83F94"/>
    <w:rsid w:val="069ACA0B"/>
    <w:rsid w:val="09B637A7"/>
    <w:rsid w:val="0FAB1467"/>
    <w:rsid w:val="1169CE4B"/>
    <w:rsid w:val="1A7096D9"/>
    <w:rsid w:val="1B39F35B"/>
    <w:rsid w:val="1E439758"/>
    <w:rsid w:val="1E84FDB6"/>
    <w:rsid w:val="25662DE5"/>
    <w:rsid w:val="26149314"/>
    <w:rsid w:val="30940DC1"/>
    <w:rsid w:val="326B196B"/>
    <w:rsid w:val="336E919C"/>
    <w:rsid w:val="36A4F4EC"/>
    <w:rsid w:val="3AB46235"/>
    <w:rsid w:val="40C7ABB2"/>
    <w:rsid w:val="411B21B9"/>
    <w:rsid w:val="42101493"/>
    <w:rsid w:val="44BFBAA0"/>
    <w:rsid w:val="4E186569"/>
    <w:rsid w:val="4F80605E"/>
    <w:rsid w:val="5495316F"/>
    <w:rsid w:val="577CDF04"/>
    <w:rsid w:val="58835183"/>
    <w:rsid w:val="5D846DFA"/>
    <w:rsid w:val="60E20D44"/>
    <w:rsid w:val="6BEB8987"/>
    <w:rsid w:val="6D309851"/>
    <w:rsid w:val="6E029231"/>
    <w:rsid w:val="6E3138EE"/>
    <w:rsid w:val="6FE3826B"/>
    <w:rsid w:val="71523B4E"/>
    <w:rsid w:val="7168C683"/>
    <w:rsid w:val="75A0E73E"/>
    <w:rsid w:val="7813D907"/>
    <w:rsid w:val="79B78D9C"/>
    <w:rsid w:val="7C6A6C04"/>
    <w:rsid w:val="7E3E1E99"/>
    <w:rsid w:val="7EAD7B0E"/>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C228"/>
  <w15:docId w15:val="{447FEDAD-55C8-4DB3-BD6F-EFEDE72C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5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table" w:customStyle="1" w:styleId="a1">
    <w:basedOn w:val="Tablanormal"/>
    <w:pPr>
      <w:spacing w:after="0" w:line="240" w:lineRule="auto"/>
    </w:pPr>
    <w:tblPr>
      <w:tblStyleRowBandSize w:val="1"/>
      <w:tblStyleColBandSize w:val="1"/>
    </w:tblPr>
  </w:style>
  <w:style w:type="paragraph" w:styleId="Revisin">
    <w:name w:val="Revision"/>
    <w:hidden/>
    <w:uiPriority w:val="99"/>
    <w:semiHidden/>
    <w:rsid w:val="00AC72E9"/>
    <w:pPr>
      <w:spacing w:after="0" w:line="240" w:lineRule="auto"/>
    </w:pPr>
  </w:style>
  <w:style w:type="character" w:customStyle="1" w:styleId="UnresolvedMention1">
    <w:name w:val="Unresolved Mention1"/>
    <w:basedOn w:val="Fuentedeprrafopredeter"/>
    <w:uiPriority w:val="99"/>
    <w:semiHidden/>
    <w:unhideWhenUsed/>
    <w:rsid w:val="001C0F92"/>
    <w:rPr>
      <w:color w:val="605E5C"/>
      <w:shd w:val="clear" w:color="auto" w:fill="E1DFDD"/>
    </w:rPr>
  </w:style>
  <w:style w:type="paragraph" w:styleId="NormalWeb">
    <w:name w:val="Normal (Web)"/>
    <w:basedOn w:val="Normal"/>
    <w:uiPriority w:val="99"/>
    <w:unhideWhenUsed/>
    <w:rsid w:val="00045B37"/>
    <w:pPr>
      <w:spacing w:before="100" w:beforeAutospacing="1" w:after="100" w:afterAutospacing="1" w:line="240" w:lineRule="auto"/>
    </w:pPr>
    <w:rPr>
      <w:rFonts w:ascii="Times New Roman" w:eastAsiaTheme="minorEastAsia" w:hAnsi="Times New Roman" w:cs="Times New Roman"/>
      <w:sz w:val="24"/>
      <w:szCs w:val="24"/>
    </w:rPr>
  </w:style>
  <w:style w:type="paragraph" w:styleId="Sinespaciado">
    <w:name w:val="No Spacing"/>
    <w:uiPriority w:val="1"/>
    <w:qFormat/>
    <w:rsid w:val="00045B37"/>
    <w:pPr>
      <w:spacing w:after="0" w:line="240" w:lineRule="auto"/>
    </w:pPr>
  </w:style>
  <w:style w:type="paragraph" w:customStyle="1" w:styleId="ley-2">
    <w:name w:val="ley-2"/>
    <w:basedOn w:val="Normal"/>
    <w:rsid w:val="008A319D"/>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374180"/>
    <w:rPr>
      <w:color w:val="605E5C"/>
      <w:shd w:val="clear" w:color="auto" w:fill="E1DFDD"/>
    </w:rPr>
  </w:style>
  <w:style w:type="character" w:styleId="Hipervnculovisitado">
    <w:name w:val="FollowedHyperlink"/>
    <w:basedOn w:val="Fuentedeprrafopredeter"/>
    <w:uiPriority w:val="99"/>
    <w:semiHidden/>
    <w:unhideWhenUsed/>
    <w:rsid w:val="00BD6D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16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b.pe/institucion/minedu/normas-legales/4771769-151-2023-mined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inedu.gob.pe/files/3896_201207100937.pdf" TargetMode="External"/><Relationship Id="rId17" Type="http://schemas.openxmlformats.org/officeDocument/2006/relationships/hyperlink" Target="http://www.minedu.gob.pe/p/pdf/guia-de-disenio-bioclimatico.pdf" TargetMode="External"/><Relationship Id="rId2" Type="http://schemas.openxmlformats.org/officeDocument/2006/relationships/customXml" Target="../customXml/item2.xml"/><Relationship Id="rId16" Type="http://schemas.openxmlformats.org/officeDocument/2006/relationships/hyperlink" Target="https://busquedas.elperuano.pe/dispositivo/NL/214694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pe/institucion/minedu/normas-legales/2138240-007-2021-minedu" TargetMode="External"/><Relationship Id="rId5" Type="http://schemas.openxmlformats.org/officeDocument/2006/relationships/settings" Target="settings.xml"/><Relationship Id="rId15" Type="http://schemas.openxmlformats.org/officeDocument/2006/relationships/hyperlink" Target="https://www.minedu.gob.pe/p/app_normatividad.php" TargetMode="External"/><Relationship Id="rId10" Type="http://schemas.openxmlformats.org/officeDocument/2006/relationships/hyperlink" Target="https://www.gob.pe/institucion/minedu/normas-legales/118256-0011-2012-e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minedu.gob.pe/p/ley_general_de_educacion_28044.pdf" TargetMode="External"/><Relationship Id="rId14" Type="http://schemas.openxmlformats.org/officeDocument/2006/relationships/hyperlink" Target="http://www.construccion.org/normas/rne2012/rne200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oJ5H5TBtv1aKQ9MVvQELVwsP3Wg==">AMUW2mXI9XEsYkPNO8t8F3I+tDFsrGsx5ePJkZxQ/5cuYhTGhV7/Kn/P19InAmWarztBiGAsxMXIvWyHJJgcnHtW8TvsdtW95fijAnlV3JsTGm09nOI0Rqo6kzr4nWG9+/2SZtfrgMjW</go:docsCustomData>
</go:gDocsCustomXmlDataStorage>
</file>

<file path=customXml/itemProps1.xml><?xml version="1.0" encoding="utf-8"?>
<ds:datastoreItem xmlns:ds="http://schemas.openxmlformats.org/officeDocument/2006/customXml" ds:itemID="{57C36665-9EEC-47E8-8565-9FB9698A96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1537</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HUGO SIPION FERNANDEZ</dc:creator>
  <cp:lastModifiedBy>PAULO DANIEL MENDOZA BARRANTES</cp:lastModifiedBy>
  <cp:revision>10</cp:revision>
  <dcterms:created xsi:type="dcterms:W3CDTF">2024-06-26T21:55:00Z</dcterms:created>
  <dcterms:modified xsi:type="dcterms:W3CDTF">2025-06-30T23:36:00Z</dcterms:modified>
</cp:coreProperties>
</file>