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rsidRPr="001D33A5" w14:paraId="62A1AD1D" w14:textId="77777777" w:rsidTr="00573060">
        <w:trPr>
          <w:trHeight w:val="708"/>
        </w:trPr>
        <w:tc>
          <w:tcPr>
            <w:tcW w:w="9493" w:type="dxa"/>
          </w:tcPr>
          <w:p w14:paraId="5F4F0215" w14:textId="29E4E072" w:rsidR="00EF7C8F" w:rsidRPr="001D33A5" w:rsidRDefault="00EF7C8F" w:rsidP="001D33A5">
            <w:pPr>
              <w:jc w:val="center"/>
              <w:rPr>
                <w:rFonts w:ascii="Arial" w:hAnsi="Arial" w:cs="Arial"/>
                <w:b/>
                <w:snapToGrid w:val="0"/>
                <w:color w:val="000000"/>
                <w:sz w:val="20"/>
                <w:szCs w:val="20"/>
              </w:rPr>
            </w:pPr>
            <w:r w:rsidRPr="001D33A5">
              <w:rPr>
                <w:rFonts w:ascii="Arial" w:hAnsi="Arial" w:cs="Arial"/>
                <w:b/>
                <w:snapToGrid w:val="0"/>
                <w:color w:val="000000"/>
                <w:sz w:val="20"/>
                <w:szCs w:val="20"/>
              </w:rPr>
              <w:t>FORMATO N° 04-A:</w:t>
            </w:r>
          </w:p>
          <w:p w14:paraId="55636EE2" w14:textId="60210834" w:rsidR="00EF7C8F" w:rsidRPr="001D33A5" w:rsidRDefault="00EF7C8F" w:rsidP="001D33A5">
            <w:pPr>
              <w:jc w:val="center"/>
              <w:rPr>
                <w:rFonts w:ascii="Arial" w:hAnsi="Arial" w:cs="Arial"/>
                <w:b/>
                <w:snapToGrid w:val="0"/>
                <w:color w:val="000000"/>
                <w:sz w:val="20"/>
                <w:szCs w:val="20"/>
              </w:rPr>
            </w:pPr>
            <w:r w:rsidRPr="001D33A5">
              <w:rPr>
                <w:rFonts w:ascii="Arial" w:hAnsi="Arial" w:cs="Arial"/>
                <w:b/>
                <w:snapToGrid w:val="0"/>
                <w:color w:val="000000"/>
                <w:sz w:val="20"/>
                <w:szCs w:val="20"/>
              </w:rPr>
              <w:t>INDICADOR DE BRECHA</w:t>
            </w:r>
          </w:p>
        </w:tc>
      </w:tr>
    </w:tbl>
    <w:p w14:paraId="4AB9ECEF" w14:textId="6F7B29A5" w:rsidR="007C4F1D" w:rsidRPr="001D33A5" w:rsidRDefault="007C4F1D" w:rsidP="001D33A5">
      <w:pPr>
        <w:spacing w:line="240" w:lineRule="auto"/>
        <w:rPr>
          <w:rFonts w:ascii="Arial" w:hAnsi="Arial" w:cs="Arial"/>
          <w:sz w:val="20"/>
          <w:szCs w:val="20"/>
        </w:rPr>
      </w:pPr>
      <w:bookmarkStart w:id="0" w:name="_Hlk60148253"/>
    </w:p>
    <w:tbl>
      <w:tblPr>
        <w:tblStyle w:val="Tablaconcuadrcula"/>
        <w:tblW w:w="9493" w:type="dxa"/>
        <w:tblLook w:val="04A0" w:firstRow="1" w:lastRow="0" w:firstColumn="1" w:lastColumn="0" w:noHBand="0" w:noVBand="1"/>
      </w:tblPr>
      <w:tblGrid>
        <w:gridCol w:w="1628"/>
        <w:gridCol w:w="565"/>
        <w:gridCol w:w="7300"/>
      </w:tblGrid>
      <w:tr w:rsidR="00DE2D8A" w:rsidRPr="001D33A5" w14:paraId="68950F46" w14:textId="77777777" w:rsidTr="00501759">
        <w:trPr>
          <w:trHeight w:val="401"/>
        </w:trPr>
        <w:tc>
          <w:tcPr>
            <w:tcW w:w="1413" w:type="dxa"/>
            <w:vAlign w:val="center"/>
          </w:tcPr>
          <w:p w14:paraId="5382E33E" w14:textId="473C8DEA" w:rsidR="00DE2D8A" w:rsidRPr="001D33A5" w:rsidRDefault="00DE2D8A" w:rsidP="001D33A5">
            <w:pPr>
              <w:rPr>
                <w:rFonts w:ascii="Arial" w:hAnsi="Arial" w:cs="Arial"/>
                <w:b/>
                <w:bCs/>
                <w:sz w:val="20"/>
                <w:szCs w:val="20"/>
              </w:rPr>
            </w:pPr>
            <w:r w:rsidRPr="001D33A5">
              <w:rPr>
                <w:rFonts w:ascii="Arial" w:hAnsi="Arial" w:cs="Arial"/>
                <w:b/>
                <w:bCs/>
                <w:sz w:val="20"/>
                <w:szCs w:val="20"/>
              </w:rPr>
              <w:t>Sector Responsable</w:t>
            </w:r>
          </w:p>
        </w:tc>
        <w:tc>
          <w:tcPr>
            <w:tcW w:w="566" w:type="dxa"/>
            <w:shd w:val="clear" w:color="auto" w:fill="auto"/>
            <w:vAlign w:val="center"/>
          </w:tcPr>
          <w:p w14:paraId="4CE4646E" w14:textId="08D5E48F" w:rsidR="00DE2D8A" w:rsidRPr="001D33A5" w:rsidRDefault="00E5234F" w:rsidP="001D33A5">
            <w:pPr>
              <w:jc w:val="center"/>
              <w:rPr>
                <w:rFonts w:ascii="Arial" w:hAnsi="Arial" w:cs="Arial"/>
                <w:sz w:val="20"/>
                <w:szCs w:val="20"/>
              </w:rPr>
            </w:pPr>
            <w:r w:rsidRPr="001D33A5">
              <w:rPr>
                <w:rFonts w:ascii="Arial" w:hAnsi="Arial" w:cs="Arial"/>
                <w:sz w:val="20"/>
                <w:szCs w:val="20"/>
              </w:rPr>
              <w:t>10</w:t>
            </w:r>
          </w:p>
        </w:tc>
        <w:tc>
          <w:tcPr>
            <w:tcW w:w="7514" w:type="dxa"/>
            <w:shd w:val="clear" w:color="auto" w:fill="auto"/>
            <w:vAlign w:val="center"/>
          </w:tcPr>
          <w:p w14:paraId="70EDA9B9" w14:textId="64292507" w:rsidR="00DE2D8A" w:rsidRPr="001D33A5" w:rsidRDefault="00442BBE" w:rsidP="001D33A5">
            <w:pPr>
              <w:rPr>
                <w:rFonts w:ascii="Arial" w:hAnsi="Arial" w:cs="Arial"/>
                <w:sz w:val="20"/>
                <w:szCs w:val="20"/>
              </w:rPr>
            </w:pPr>
            <w:r w:rsidRPr="001D33A5">
              <w:rPr>
                <w:rFonts w:ascii="Arial" w:hAnsi="Arial" w:cs="Arial"/>
                <w:sz w:val="20"/>
                <w:szCs w:val="20"/>
              </w:rPr>
              <w:t>Educación</w:t>
            </w:r>
          </w:p>
        </w:tc>
      </w:tr>
      <w:tr w:rsidR="003C33F5" w:rsidRPr="001D33A5" w14:paraId="6C0C447A" w14:textId="77777777" w:rsidTr="00501759">
        <w:trPr>
          <w:trHeight w:val="423"/>
        </w:trPr>
        <w:tc>
          <w:tcPr>
            <w:tcW w:w="1413" w:type="dxa"/>
            <w:vAlign w:val="center"/>
          </w:tcPr>
          <w:p w14:paraId="3977CE04" w14:textId="72468A0B" w:rsidR="00DE2D8A" w:rsidRPr="001D33A5" w:rsidRDefault="00B4744E" w:rsidP="001D33A5">
            <w:pPr>
              <w:rPr>
                <w:rFonts w:ascii="Arial" w:hAnsi="Arial" w:cs="Arial"/>
                <w:b/>
                <w:bCs/>
                <w:sz w:val="20"/>
                <w:szCs w:val="20"/>
              </w:rPr>
            </w:pPr>
            <w:r w:rsidRPr="001D33A5">
              <w:rPr>
                <w:rFonts w:ascii="Arial" w:hAnsi="Arial" w:cs="Arial"/>
                <w:b/>
                <w:bCs/>
                <w:sz w:val="20"/>
                <w:szCs w:val="20"/>
              </w:rPr>
              <w:t xml:space="preserve">Nombre del Indicador </w:t>
            </w:r>
          </w:p>
        </w:tc>
        <w:tc>
          <w:tcPr>
            <w:tcW w:w="566" w:type="dxa"/>
            <w:shd w:val="clear" w:color="auto" w:fill="auto"/>
            <w:vAlign w:val="center"/>
          </w:tcPr>
          <w:p w14:paraId="3172FC95" w14:textId="05E67764" w:rsidR="00DE2D8A" w:rsidRPr="001D33A5" w:rsidRDefault="003C33F5" w:rsidP="001D33A5">
            <w:pPr>
              <w:jc w:val="center"/>
              <w:rPr>
                <w:rFonts w:ascii="Arial" w:hAnsi="Arial" w:cs="Arial"/>
                <w:sz w:val="20"/>
                <w:szCs w:val="20"/>
              </w:rPr>
            </w:pPr>
            <w:r w:rsidRPr="001D33A5">
              <w:rPr>
                <w:rFonts w:ascii="Arial" w:hAnsi="Arial" w:cs="Arial"/>
                <w:sz w:val="20"/>
                <w:szCs w:val="20"/>
              </w:rPr>
              <w:t>354</w:t>
            </w:r>
          </w:p>
        </w:tc>
        <w:tc>
          <w:tcPr>
            <w:tcW w:w="7514" w:type="dxa"/>
            <w:shd w:val="clear" w:color="auto" w:fill="auto"/>
            <w:vAlign w:val="center"/>
          </w:tcPr>
          <w:p w14:paraId="2350C117" w14:textId="5607D755" w:rsidR="00DE2D8A" w:rsidRPr="001D33A5" w:rsidRDefault="003C33F5" w:rsidP="001D33A5">
            <w:pPr>
              <w:rPr>
                <w:rFonts w:ascii="Arial" w:hAnsi="Arial" w:cs="Arial"/>
                <w:sz w:val="20"/>
                <w:szCs w:val="20"/>
              </w:rPr>
            </w:pPr>
            <w:r w:rsidRPr="001D33A5">
              <w:rPr>
                <w:rFonts w:ascii="Arial" w:hAnsi="Arial" w:cs="Arial"/>
                <w:sz w:val="20"/>
                <w:szCs w:val="20"/>
              </w:rPr>
              <w:t xml:space="preserve">Porcentaje de </w:t>
            </w:r>
            <w:r w:rsidR="003A2BD2">
              <w:rPr>
                <w:rFonts w:ascii="Arial" w:hAnsi="Arial" w:cs="Arial"/>
                <w:sz w:val="20"/>
                <w:szCs w:val="20"/>
              </w:rPr>
              <w:t>instalaciones educativas</w:t>
            </w:r>
            <w:r w:rsidRPr="001D33A5">
              <w:rPr>
                <w:rFonts w:ascii="Arial" w:hAnsi="Arial" w:cs="Arial"/>
                <w:sz w:val="20"/>
                <w:szCs w:val="20"/>
              </w:rPr>
              <w:t xml:space="preserve"> del </w:t>
            </w:r>
            <w:r w:rsidR="00A11CE1" w:rsidRPr="001D33A5">
              <w:rPr>
                <w:rFonts w:ascii="Arial" w:hAnsi="Arial" w:cs="Arial"/>
                <w:sz w:val="20"/>
                <w:szCs w:val="20"/>
              </w:rPr>
              <w:t>m</w:t>
            </w:r>
            <w:r w:rsidRPr="001D33A5">
              <w:rPr>
                <w:rFonts w:ascii="Arial" w:hAnsi="Arial" w:cs="Arial"/>
                <w:sz w:val="20"/>
                <w:szCs w:val="20"/>
              </w:rPr>
              <w:t xml:space="preserve">odelo de </w:t>
            </w:r>
            <w:r w:rsidR="00B24240">
              <w:rPr>
                <w:rFonts w:ascii="Arial" w:hAnsi="Arial" w:cs="Arial"/>
                <w:sz w:val="20"/>
                <w:szCs w:val="20"/>
              </w:rPr>
              <w:t>S</w:t>
            </w:r>
            <w:r w:rsidR="00B24240" w:rsidRPr="001D33A5">
              <w:rPr>
                <w:rFonts w:ascii="Arial" w:hAnsi="Arial" w:cs="Arial"/>
                <w:sz w:val="20"/>
                <w:szCs w:val="20"/>
              </w:rPr>
              <w:t xml:space="preserve">ervicio </w:t>
            </w:r>
            <w:r w:rsidR="00B24240">
              <w:rPr>
                <w:rFonts w:ascii="Arial" w:hAnsi="Arial" w:cs="Arial"/>
                <w:sz w:val="20"/>
                <w:szCs w:val="20"/>
              </w:rPr>
              <w:t>E</w:t>
            </w:r>
            <w:r w:rsidR="00B24240" w:rsidRPr="001D33A5">
              <w:rPr>
                <w:rFonts w:ascii="Arial" w:hAnsi="Arial" w:cs="Arial"/>
                <w:sz w:val="20"/>
                <w:szCs w:val="20"/>
              </w:rPr>
              <w:t xml:space="preserve">ducativo </w:t>
            </w:r>
            <w:r w:rsidRPr="001D33A5">
              <w:rPr>
                <w:rFonts w:ascii="Arial" w:hAnsi="Arial" w:cs="Arial"/>
                <w:sz w:val="20"/>
                <w:szCs w:val="20"/>
              </w:rPr>
              <w:t>para</w:t>
            </w:r>
            <w:r w:rsidR="00347A1E">
              <w:rPr>
                <w:rFonts w:ascii="Arial" w:hAnsi="Arial" w:cs="Arial"/>
                <w:sz w:val="20"/>
                <w:szCs w:val="20"/>
              </w:rPr>
              <w:t xml:space="preserve"> Atención de</w:t>
            </w:r>
            <w:r w:rsidRPr="001D33A5">
              <w:rPr>
                <w:rFonts w:ascii="Arial" w:hAnsi="Arial" w:cs="Arial"/>
                <w:sz w:val="20"/>
                <w:szCs w:val="20"/>
              </w:rPr>
              <w:t xml:space="preserve"> </w:t>
            </w:r>
            <w:r w:rsidR="00B24240">
              <w:rPr>
                <w:rFonts w:ascii="Arial" w:hAnsi="Arial" w:cs="Arial"/>
                <w:sz w:val="20"/>
                <w:szCs w:val="20"/>
              </w:rPr>
              <w:t>E</w:t>
            </w:r>
            <w:r w:rsidR="00B24240" w:rsidRPr="001D33A5">
              <w:rPr>
                <w:rFonts w:ascii="Arial" w:hAnsi="Arial" w:cs="Arial"/>
                <w:sz w:val="20"/>
                <w:szCs w:val="20"/>
              </w:rPr>
              <w:t xml:space="preserve">studiantes </w:t>
            </w:r>
            <w:r w:rsidR="00AB4635" w:rsidRPr="001D33A5">
              <w:rPr>
                <w:rFonts w:ascii="Arial" w:hAnsi="Arial" w:cs="Arial"/>
                <w:sz w:val="20"/>
                <w:szCs w:val="20"/>
              </w:rPr>
              <w:t xml:space="preserve">con </w:t>
            </w:r>
            <w:r w:rsidR="00B24240">
              <w:rPr>
                <w:rFonts w:ascii="Arial" w:hAnsi="Arial" w:cs="Arial"/>
                <w:sz w:val="20"/>
                <w:szCs w:val="20"/>
              </w:rPr>
              <w:t>H</w:t>
            </w:r>
            <w:r w:rsidR="00B24240" w:rsidRPr="001D33A5">
              <w:rPr>
                <w:rFonts w:ascii="Arial" w:hAnsi="Arial" w:cs="Arial"/>
                <w:sz w:val="20"/>
                <w:szCs w:val="20"/>
              </w:rPr>
              <w:t xml:space="preserve">abilidades </w:t>
            </w:r>
            <w:r w:rsidR="00B24240">
              <w:rPr>
                <w:rFonts w:ascii="Arial" w:hAnsi="Arial" w:cs="Arial"/>
                <w:sz w:val="20"/>
                <w:szCs w:val="20"/>
              </w:rPr>
              <w:t>S</w:t>
            </w:r>
            <w:r w:rsidR="00B24240" w:rsidRPr="001D33A5">
              <w:rPr>
                <w:rFonts w:ascii="Arial" w:hAnsi="Arial" w:cs="Arial"/>
                <w:sz w:val="20"/>
                <w:szCs w:val="20"/>
              </w:rPr>
              <w:t>obresalientes</w:t>
            </w:r>
            <w:r w:rsidR="00A81D18">
              <w:rPr>
                <w:rFonts w:ascii="Arial" w:hAnsi="Arial" w:cs="Arial"/>
                <w:sz w:val="20"/>
                <w:szCs w:val="20"/>
              </w:rPr>
              <w:t xml:space="preserve"> </w:t>
            </w:r>
            <w:r w:rsidR="006B3B5C" w:rsidRPr="35526FB5">
              <w:rPr>
                <w:rFonts w:ascii="Arial" w:hAnsi="Arial" w:cs="Arial"/>
                <w:sz w:val="20"/>
                <w:szCs w:val="20"/>
              </w:rPr>
              <w:t xml:space="preserve">en </w:t>
            </w:r>
            <w:r w:rsidR="006B3B5C" w:rsidRPr="003B7202">
              <w:rPr>
                <w:rFonts w:ascii="Arial" w:hAnsi="Arial" w:cs="Arial"/>
                <w:sz w:val="20"/>
                <w:szCs w:val="20"/>
              </w:rPr>
              <w:t>condiciones inadecuadas</w:t>
            </w:r>
          </w:p>
        </w:tc>
      </w:tr>
      <w:tr w:rsidR="003C33F5" w:rsidRPr="001D33A5" w14:paraId="11A718E3" w14:textId="77777777" w:rsidTr="00501759">
        <w:trPr>
          <w:trHeight w:val="448"/>
        </w:trPr>
        <w:tc>
          <w:tcPr>
            <w:tcW w:w="1413" w:type="dxa"/>
            <w:vAlign w:val="center"/>
          </w:tcPr>
          <w:p w14:paraId="57EC8604" w14:textId="7E21759A" w:rsidR="00FA37E3" w:rsidRPr="001D33A5" w:rsidRDefault="00FA37E3" w:rsidP="001D33A5">
            <w:pPr>
              <w:rPr>
                <w:rFonts w:ascii="Arial" w:hAnsi="Arial" w:cs="Arial"/>
                <w:sz w:val="20"/>
                <w:szCs w:val="20"/>
              </w:rPr>
            </w:pPr>
            <w:r w:rsidRPr="001D33A5">
              <w:rPr>
                <w:rFonts w:ascii="Arial" w:hAnsi="Arial" w:cs="Arial"/>
                <w:b/>
                <w:bCs/>
                <w:sz w:val="20"/>
                <w:szCs w:val="20"/>
              </w:rPr>
              <w:t>Tipo de Indicador</w:t>
            </w:r>
          </w:p>
        </w:tc>
        <w:tc>
          <w:tcPr>
            <w:tcW w:w="8080" w:type="dxa"/>
            <w:gridSpan w:val="2"/>
            <w:shd w:val="clear" w:color="auto" w:fill="auto"/>
            <w:vAlign w:val="center"/>
          </w:tcPr>
          <w:p w14:paraId="6994EF24" w14:textId="56476DD2" w:rsidR="00FA37E3" w:rsidRPr="001D33A5" w:rsidRDefault="00442BBE" w:rsidP="001D33A5">
            <w:pPr>
              <w:rPr>
                <w:rFonts w:ascii="Arial" w:hAnsi="Arial" w:cs="Arial"/>
                <w:sz w:val="20"/>
                <w:szCs w:val="20"/>
              </w:rPr>
            </w:pPr>
            <w:r w:rsidRPr="001D33A5">
              <w:rPr>
                <w:rFonts w:ascii="Arial" w:hAnsi="Arial" w:cs="Arial"/>
                <w:sz w:val="20"/>
                <w:szCs w:val="20"/>
              </w:rPr>
              <w:t>Calidad</w:t>
            </w:r>
          </w:p>
        </w:tc>
      </w:tr>
      <w:tr w:rsidR="00C15DC8" w:rsidRPr="001D33A5" w14:paraId="0C106DDE" w14:textId="77777777" w:rsidTr="00501759">
        <w:trPr>
          <w:trHeight w:val="430"/>
        </w:trPr>
        <w:tc>
          <w:tcPr>
            <w:tcW w:w="1413" w:type="dxa"/>
            <w:vAlign w:val="center"/>
          </w:tcPr>
          <w:p w14:paraId="52728A04" w14:textId="6694EFAD" w:rsidR="00DE2D8A" w:rsidRPr="001D33A5" w:rsidRDefault="00DE2D8A" w:rsidP="001D33A5">
            <w:pPr>
              <w:rPr>
                <w:rFonts w:ascii="Arial" w:hAnsi="Arial" w:cs="Arial"/>
                <w:sz w:val="20"/>
                <w:szCs w:val="20"/>
              </w:rPr>
            </w:pPr>
            <w:r w:rsidRPr="001D33A5">
              <w:rPr>
                <w:rFonts w:ascii="Arial" w:hAnsi="Arial" w:cs="Arial"/>
                <w:b/>
                <w:bCs/>
                <w:sz w:val="20"/>
                <w:szCs w:val="20"/>
              </w:rPr>
              <w:t>Unidad de Medida</w:t>
            </w:r>
          </w:p>
        </w:tc>
        <w:tc>
          <w:tcPr>
            <w:tcW w:w="566" w:type="dxa"/>
            <w:shd w:val="clear" w:color="auto" w:fill="auto"/>
            <w:vAlign w:val="center"/>
          </w:tcPr>
          <w:p w14:paraId="2FDA500C" w14:textId="33657A1B" w:rsidR="00DE2D8A" w:rsidRPr="001D33A5" w:rsidRDefault="00E5234F" w:rsidP="001D33A5">
            <w:pPr>
              <w:jc w:val="center"/>
              <w:rPr>
                <w:rFonts w:ascii="Arial" w:hAnsi="Arial" w:cs="Arial"/>
                <w:sz w:val="20"/>
                <w:szCs w:val="20"/>
              </w:rPr>
            </w:pPr>
            <w:r w:rsidRPr="001D33A5">
              <w:rPr>
                <w:rFonts w:ascii="Arial" w:hAnsi="Arial" w:cs="Arial"/>
                <w:sz w:val="20"/>
                <w:szCs w:val="20"/>
              </w:rPr>
              <w:t>327</w:t>
            </w:r>
          </w:p>
        </w:tc>
        <w:tc>
          <w:tcPr>
            <w:tcW w:w="7514" w:type="dxa"/>
            <w:shd w:val="clear" w:color="auto" w:fill="auto"/>
            <w:vAlign w:val="center"/>
          </w:tcPr>
          <w:p w14:paraId="653DB9DE" w14:textId="090BA6B1" w:rsidR="00DE2D8A" w:rsidRPr="001D33A5" w:rsidRDefault="003A2BD2" w:rsidP="001D33A5">
            <w:pPr>
              <w:rPr>
                <w:rFonts w:ascii="Arial" w:hAnsi="Arial" w:cs="Arial"/>
                <w:sz w:val="20"/>
                <w:szCs w:val="20"/>
              </w:rPr>
            </w:pPr>
            <w:r>
              <w:rPr>
                <w:rFonts w:ascii="Arial" w:hAnsi="Arial" w:cs="Arial"/>
                <w:sz w:val="20"/>
                <w:szCs w:val="20"/>
              </w:rPr>
              <w:t xml:space="preserve">Instalación </w:t>
            </w:r>
            <w:r w:rsidR="00BF347D">
              <w:rPr>
                <w:rFonts w:ascii="Arial" w:hAnsi="Arial" w:cs="Arial"/>
                <w:sz w:val="20"/>
                <w:szCs w:val="20"/>
              </w:rPr>
              <w:t>E</w:t>
            </w:r>
            <w:r>
              <w:rPr>
                <w:rFonts w:ascii="Arial" w:hAnsi="Arial" w:cs="Arial"/>
                <w:sz w:val="20"/>
                <w:szCs w:val="20"/>
              </w:rPr>
              <w:t>ducativa</w:t>
            </w:r>
          </w:p>
        </w:tc>
      </w:tr>
      <w:tr w:rsidR="0084371A" w:rsidRPr="001D33A5" w14:paraId="35F1A4CD" w14:textId="77777777" w:rsidTr="00501759">
        <w:trPr>
          <w:trHeight w:val="430"/>
        </w:trPr>
        <w:tc>
          <w:tcPr>
            <w:tcW w:w="1413" w:type="dxa"/>
            <w:vAlign w:val="center"/>
          </w:tcPr>
          <w:p w14:paraId="3A2665BE" w14:textId="551D1317" w:rsidR="00C73B6D" w:rsidRPr="001D33A5" w:rsidRDefault="00C73B6D" w:rsidP="001D33A5">
            <w:pPr>
              <w:rPr>
                <w:rFonts w:ascii="Arial" w:hAnsi="Arial" w:cs="Arial"/>
                <w:b/>
                <w:bCs/>
                <w:sz w:val="20"/>
                <w:szCs w:val="20"/>
              </w:rPr>
            </w:pPr>
            <w:r w:rsidRPr="001D33A5">
              <w:rPr>
                <w:rFonts w:ascii="Arial" w:hAnsi="Arial" w:cs="Arial"/>
                <w:b/>
                <w:bCs/>
                <w:sz w:val="20"/>
                <w:szCs w:val="20"/>
              </w:rPr>
              <w:t>Nivel de desagregación</w:t>
            </w:r>
          </w:p>
        </w:tc>
        <w:tc>
          <w:tcPr>
            <w:tcW w:w="8080" w:type="dxa"/>
            <w:gridSpan w:val="2"/>
            <w:shd w:val="clear" w:color="auto" w:fill="auto"/>
            <w:vAlign w:val="center"/>
          </w:tcPr>
          <w:p w14:paraId="76D3C9CD" w14:textId="760C6A2A" w:rsidR="00C73B6D" w:rsidRPr="001D33A5" w:rsidRDefault="00C15DC8" w:rsidP="001D33A5">
            <w:pPr>
              <w:rPr>
                <w:rFonts w:ascii="Arial" w:hAnsi="Arial" w:cs="Arial"/>
                <w:sz w:val="20"/>
                <w:szCs w:val="20"/>
              </w:rPr>
            </w:pPr>
            <w:r w:rsidRPr="001D33A5">
              <w:rPr>
                <w:rFonts w:ascii="Arial" w:hAnsi="Arial" w:cs="Arial"/>
                <w:sz w:val="20"/>
                <w:szCs w:val="20"/>
              </w:rPr>
              <w:t>Regional</w:t>
            </w:r>
          </w:p>
        </w:tc>
      </w:tr>
    </w:tbl>
    <w:p w14:paraId="49FC6AB5" w14:textId="15D377CD" w:rsidR="00EF7C8F" w:rsidRPr="001D33A5" w:rsidRDefault="00EF7C8F" w:rsidP="001D33A5">
      <w:pPr>
        <w:spacing w:line="240" w:lineRule="auto"/>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C15DC8" w:rsidRPr="001D33A5"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1D33A5" w:rsidRDefault="00E01366" w:rsidP="001D33A5">
            <w:pPr>
              <w:rPr>
                <w:rFonts w:ascii="Arial" w:hAnsi="Arial" w:cs="Arial"/>
                <w:b/>
                <w:bCs/>
                <w:sz w:val="20"/>
                <w:szCs w:val="20"/>
              </w:rPr>
            </w:pPr>
            <w:r w:rsidRPr="001D33A5">
              <w:rPr>
                <w:rFonts w:ascii="Arial" w:hAnsi="Arial" w:cs="Arial"/>
                <w:b/>
                <w:bCs/>
                <w:sz w:val="20"/>
                <w:szCs w:val="20"/>
              </w:rPr>
              <w:t>Servicio y Tipología</w:t>
            </w:r>
          </w:p>
        </w:tc>
      </w:tr>
      <w:tr w:rsidR="00C15DC8" w:rsidRPr="001D33A5"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1D33A5" w:rsidRDefault="00E01366" w:rsidP="001D33A5">
            <w:pPr>
              <w:jc w:val="center"/>
              <w:rPr>
                <w:rFonts w:ascii="Arial" w:hAnsi="Arial" w:cs="Arial"/>
                <w:b/>
                <w:bCs/>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Tipología</w:t>
            </w:r>
          </w:p>
        </w:tc>
      </w:tr>
      <w:tr w:rsidR="00C15DC8" w:rsidRPr="001D33A5"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2FB4A" w:rsidR="00E01366" w:rsidRPr="001D33A5" w:rsidRDefault="0084371A" w:rsidP="001D33A5">
            <w:pPr>
              <w:rPr>
                <w:rFonts w:ascii="Arial" w:hAnsi="Arial" w:cs="Arial"/>
                <w:sz w:val="20"/>
                <w:szCs w:val="20"/>
              </w:rPr>
            </w:pPr>
            <w:r w:rsidRPr="001D33A5">
              <w:rPr>
                <w:rFonts w:ascii="Arial" w:hAnsi="Arial" w:cs="Arial"/>
                <w:sz w:val="20"/>
                <w:szCs w:val="20"/>
              </w:rPr>
              <w:t>412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57BED65F" w:rsidR="00E01366" w:rsidRPr="001D33A5" w:rsidRDefault="00442BBE" w:rsidP="001D33A5">
            <w:pPr>
              <w:rPr>
                <w:rFonts w:ascii="Arial" w:hAnsi="Arial" w:cs="Arial"/>
                <w:sz w:val="20"/>
                <w:szCs w:val="20"/>
              </w:rPr>
            </w:pPr>
            <w:r w:rsidRPr="001D33A5">
              <w:rPr>
                <w:rFonts w:ascii="Arial" w:hAnsi="Arial" w:cs="Arial"/>
                <w:sz w:val="20"/>
                <w:szCs w:val="20"/>
              </w:rPr>
              <w:t xml:space="preserve">Servicio de Educación </w:t>
            </w:r>
            <w:r w:rsidR="0084371A" w:rsidRPr="001D33A5">
              <w:rPr>
                <w:rFonts w:ascii="Arial" w:hAnsi="Arial" w:cs="Arial"/>
                <w:sz w:val="20"/>
                <w:szCs w:val="20"/>
              </w:rPr>
              <w:t>Secundaria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1D33A5" w:rsidRDefault="00E01366" w:rsidP="001D33A5">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1BF9BCD3" w:rsidR="00E01366" w:rsidRPr="001D33A5" w:rsidRDefault="00C15DC8" w:rsidP="001D33A5">
            <w:pPr>
              <w:rPr>
                <w:rFonts w:ascii="Arial" w:hAnsi="Arial" w:cs="Arial"/>
                <w:sz w:val="20"/>
                <w:szCs w:val="20"/>
              </w:rPr>
            </w:pPr>
            <w:r w:rsidRPr="001D33A5">
              <w:rPr>
                <w:rFonts w:ascii="Arial" w:hAnsi="Arial" w:cs="Arial"/>
                <w:sz w:val="20"/>
                <w:szCs w:val="20"/>
              </w:rPr>
              <w:t>371</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2381211F" w:rsidR="00E01366" w:rsidRPr="001D33A5" w:rsidRDefault="00C15DC8" w:rsidP="001D33A5">
            <w:pPr>
              <w:rPr>
                <w:rFonts w:ascii="Arial" w:hAnsi="Arial" w:cs="Arial"/>
                <w:sz w:val="20"/>
                <w:szCs w:val="20"/>
              </w:rPr>
            </w:pPr>
            <w:r w:rsidRPr="001D33A5">
              <w:rPr>
                <w:rFonts w:ascii="Arial" w:hAnsi="Arial" w:cs="Arial"/>
                <w:sz w:val="20"/>
                <w:szCs w:val="20"/>
              </w:rPr>
              <w:t xml:space="preserve">Educación Secundaria para Atención de Estudiantes </w:t>
            </w:r>
            <w:r w:rsidR="00680A91" w:rsidRPr="001D33A5">
              <w:rPr>
                <w:rFonts w:ascii="Arial" w:hAnsi="Arial" w:cs="Arial"/>
                <w:sz w:val="20"/>
                <w:szCs w:val="20"/>
              </w:rPr>
              <w:t>sobresalientes</w:t>
            </w:r>
          </w:p>
        </w:tc>
      </w:tr>
      <w:tr w:rsidR="00C15DC8" w:rsidRPr="001D33A5"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1D33A5" w:rsidRDefault="00E01366" w:rsidP="001D33A5">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1D33A5" w:rsidRDefault="00E01366" w:rsidP="001D33A5">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1D33A5" w:rsidRDefault="00E01366" w:rsidP="001D33A5">
            <w:pPr>
              <w:rPr>
                <w:rFonts w:ascii="Arial" w:hAnsi="Arial" w:cs="Arial"/>
                <w:sz w:val="20"/>
                <w:szCs w:val="20"/>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1D33A5" w:rsidRDefault="00E01366" w:rsidP="001D33A5">
            <w:pPr>
              <w:rPr>
                <w:rFonts w:ascii="Arial" w:hAnsi="Arial" w:cs="Arial"/>
                <w:sz w:val="20"/>
                <w:szCs w:val="20"/>
              </w:rPr>
            </w:pPr>
          </w:p>
        </w:tc>
        <w:tc>
          <w:tcPr>
            <w:tcW w:w="3157" w:type="dxa"/>
            <w:tcBorders>
              <w:top w:val="single" w:sz="4" w:space="0" w:color="auto"/>
              <w:bottom w:val="single" w:sz="4" w:space="0" w:color="auto"/>
            </w:tcBorders>
            <w:shd w:val="clear" w:color="auto" w:fill="auto"/>
            <w:vAlign w:val="center"/>
          </w:tcPr>
          <w:p w14:paraId="5A66EE65" w14:textId="77777777" w:rsidR="00E01366" w:rsidRPr="001D33A5" w:rsidRDefault="00E01366" w:rsidP="001D33A5">
            <w:pPr>
              <w:rPr>
                <w:rFonts w:ascii="Arial" w:hAnsi="Arial" w:cs="Arial"/>
                <w:sz w:val="20"/>
                <w:szCs w:val="20"/>
              </w:rPr>
            </w:pPr>
          </w:p>
        </w:tc>
      </w:tr>
      <w:tr w:rsidR="00E01366" w:rsidRPr="001D33A5"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1D33A5" w:rsidRDefault="00E01366" w:rsidP="001D33A5">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1D33A5" w:rsidRDefault="00E01366" w:rsidP="001D33A5">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1D33A5" w:rsidRDefault="00E01366" w:rsidP="001D33A5">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1D33A5" w:rsidRDefault="00E01366" w:rsidP="001D33A5">
            <w:pPr>
              <w:rPr>
                <w:rFonts w:ascii="Arial" w:hAnsi="Arial" w:cs="Arial"/>
                <w:sz w:val="20"/>
                <w:szCs w:val="20"/>
              </w:rPr>
            </w:pPr>
            <w:r w:rsidRPr="001D33A5">
              <w:rPr>
                <w:rFonts w:ascii="Arial" w:hAnsi="Arial" w:cs="Arial"/>
                <w:sz w:val="20"/>
                <w:szCs w:val="20"/>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1D33A5" w:rsidRDefault="00E01366" w:rsidP="001D33A5">
            <w:pPr>
              <w:rPr>
                <w:rFonts w:ascii="Arial" w:hAnsi="Arial" w:cs="Arial"/>
                <w:sz w:val="20"/>
                <w:szCs w:val="20"/>
              </w:rPr>
            </w:pPr>
          </w:p>
        </w:tc>
      </w:tr>
    </w:tbl>
    <w:p w14:paraId="648C5075" w14:textId="0786E3B6" w:rsidR="00E01366" w:rsidRPr="001D33A5" w:rsidRDefault="00E01366" w:rsidP="001D33A5">
      <w:pPr>
        <w:spacing w:line="240" w:lineRule="auto"/>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15DC8" w:rsidRPr="001D33A5"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1D33A5" w:rsidRDefault="00E01366" w:rsidP="001D33A5">
            <w:pPr>
              <w:rPr>
                <w:rFonts w:ascii="Arial" w:hAnsi="Arial" w:cs="Arial"/>
                <w:b/>
                <w:bCs/>
                <w:sz w:val="20"/>
                <w:szCs w:val="20"/>
              </w:rPr>
            </w:pPr>
            <w:r w:rsidRPr="001D33A5">
              <w:rPr>
                <w:rFonts w:ascii="Arial" w:hAnsi="Arial" w:cs="Arial"/>
                <w:b/>
                <w:bCs/>
                <w:sz w:val="20"/>
                <w:szCs w:val="20"/>
              </w:rPr>
              <w:t>Competencia del Servicio</w:t>
            </w:r>
          </w:p>
        </w:tc>
      </w:tr>
      <w:tr w:rsidR="00C15DC8" w:rsidRPr="001D33A5"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Gobierno Nacional</w:t>
            </w:r>
          </w:p>
        </w:tc>
        <w:tc>
          <w:tcPr>
            <w:tcW w:w="1981" w:type="dxa"/>
            <w:gridSpan w:val="3"/>
            <w:tcBorders>
              <w:top w:val="single" w:sz="4" w:space="0" w:color="auto"/>
            </w:tcBorders>
            <w:vAlign w:val="center"/>
          </w:tcPr>
          <w:p w14:paraId="1FEC6171"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Gobierno Regional</w:t>
            </w:r>
          </w:p>
        </w:tc>
        <w:tc>
          <w:tcPr>
            <w:tcW w:w="1806" w:type="dxa"/>
            <w:gridSpan w:val="3"/>
            <w:tcBorders>
              <w:top w:val="single" w:sz="4" w:space="0" w:color="auto"/>
            </w:tcBorders>
            <w:vAlign w:val="center"/>
          </w:tcPr>
          <w:p w14:paraId="4A62EA9E"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Gobierno Local</w:t>
            </w:r>
          </w:p>
          <w:p w14:paraId="4FCF7C93"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Municip. Provincial</w:t>
            </w:r>
          </w:p>
        </w:tc>
        <w:tc>
          <w:tcPr>
            <w:tcW w:w="1780" w:type="dxa"/>
            <w:gridSpan w:val="3"/>
            <w:tcBorders>
              <w:top w:val="single" w:sz="4" w:space="0" w:color="auto"/>
            </w:tcBorders>
            <w:vAlign w:val="center"/>
          </w:tcPr>
          <w:p w14:paraId="65EAF0B0"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Gobierno Local</w:t>
            </w:r>
          </w:p>
          <w:p w14:paraId="01206F40"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Municip. Distrital</w:t>
            </w:r>
          </w:p>
        </w:tc>
        <w:tc>
          <w:tcPr>
            <w:tcW w:w="1951" w:type="dxa"/>
            <w:gridSpan w:val="3"/>
            <w:tcBorders>
              <w:top w:val="single" w:sz="4" w:space="0" w:color="auto"/>
              <w:right w:val="single" w:sz="4" w:space="0" w:color="auto"/>
            </w:tcBorders>
            <w:vAlign w:val="center"/>
          </w:tcPr>
          <w:p w14:paraId="54589F86" w14:textId="77777777" w:rsidR="00E01366" w:rsidRPr="001D33A5" w:rsidRDefault="00E01366" w:rsidP="001D33A5">
            <w:pPr>
              <w:jc w:val="center"/>
              <w:rPr>
                <w:rFonts w:ascii="Arial" w:hAnsi="Arial" w:cs="Arial"/>
                <w:b/>
                <w:bCs/>
                <w:sz w:val="20"/>
                <w:szCs w:val="20"/>
              </w:rPr>
            </w:pPr>
            <w:r w:rsidRPr="001D33A5">
              <w:rPr>
                <w:rFonts w:ascii="Arial" w:hAnsi="Arial" w:cs="Arial"/>
                <w:b/>
                <w:bCs/>
                <w:sz w:val="20"/>
                <w:szCs w:val="20"/>
              </w:rPr>
              <w:t>Empresa</w:t>
            </w:r>
          </w:p>
        </w:tc>
      </w:tr>
      <w:tr w:rsidR="00C15DC8" w:rsidRPr="001D33A5" w14:paraId="07F29AB9" w14:textId="77777777" w:rsidTr="00501759">
        <w:trPr>
          <w:trHeight w:val="84"/>
        </w:trPr>
        <w:tc>
          <w:tcPr>
            <w:tcW w:w="750" w:type="dxa"/>
            <w:tcBorders>
              <w:left w:val="single" w:sz="4" w:space="0" w:color="auto"/>
            </w:tcBorders>
            <w:vAlign w:val="center"/>
          </w:tcPr>
          <w:p w14:paraId="223AAEC1" w14:textId="77777777" w:rsidR="00E01366" w:rsidRPr="001D33A5" w:rsidRDefault="00E01366" w:rsidP="001D33A5">
            <w:pPr>
              <w:rPr>
                <w:rFonts w:ascii="Arial" w:hAnsi="Arial" w:cs="Arial"/>
                <w:sz w:val="20"/>
                <w:szCs w:val="20"/>
              </w:rPr>
            </w:pPr>
          </w:p>
        </w:tc>
        <w:tc>
          <w:tcPr>
            <w:tcW w:w="580" w:type="dxa"/>
            <w:tcBorders>
              <w:bottom w:val="single" w:sz="4" w:space="0" w:color="auto"/>
            </w:tcBorders>
            <w:vAlign w:val="center"/>
          </w:tcPr>
          <w:p w14:paraId="404EF150" w14:textId="77777777" w:rsidR="00E01366" w:rsidRPr="001D33A5" w:rsidRDefault="00E01366" w:rsidP="001D33A5">
            <w:pPr>
              <w:rPr>
                <w:rFonts w:ascii="Arial" w:hAnsi="Arial" w:cs="Arial"/>
                <w:sz w:val="20"/>
                <w:szCs w:val="20"/>
              </w:rPr>
            </w:pPr>
          </w:p>
        </w:tc>
        <w:tc>
          <w:tcPr>
            <w:tcW w:w="650" w:type="dxa"/>
            <w:vAlign w:val="center"/>
          </w:tcPr>
          <w:p w14:paraId="2F8C63AE" w14:textId="77777777" w:rsidR="00E01366" w:rsidRPr="001D33A5" w:rsidRDefault="00E01366" w:rsidP="001D33A5">
            <w:pPr>
              <w:rPr>
                <w:rFonts w:ascii="Arial" w:hAnsi="Arial" w:cs="Arial"/>
                <w:sz w:val="20"/>
                <w:szCs w:val="20"/>
              </w:rPr>
            </w:pPr>
          </w:p>
        </w:tc>
        <w:tc>
          <w:tcPr>
            <w:tcW w:w="681" w:type="dxa"/>
            <w:vAlign w:val="center"/>
          </w:tcPr>
          <w:p w14:paraId="37D8C6FB" w14:textId="77777777" w:rsidR="00E01366" w:rsidRPr="001D33A5" w:rsidRDefault="00E01366" w:rsidP="001D33A5">
            <w:pPr>
              <w:rPr>
                <w:rFonts w:ascii="Arial" w:hAnsi="Arial" w:cs="Arial"/>
                <w:sz w:val="20"/>
                <w:szCs w:val="20"/>
              </w:rPr>
            </w:pPr>
          </w:p>
        </w:tc>
        <w:tc>
          <w:tcPr>
            <w:tcW w:w="591" w:type="dxa"/>
            <w:tcBorders>
              <w:bottom w:val="single" w:sz="4" w:space="0" w:color="auto"/>
            </w:tcBorders>
            <w:vAlign w:val="center"/>
          </w:tcPr>
          <w:p w14:paraId="12564A93" w14:textId="77777777" w:rsidR="00E01366" w:rsidRPr="001D33A5" w:rsidRDefault="00E01366" w:rsidP="001D33A5">
            <w:pPr>
              <w:rPr>
                <w:rFonts w:ascii="Arial" w:hAnsi="Arial" w:cs="Arial"/>
                <w:sz w:val="20"/>
                <w:szCs w:val="20"/>
              </w:rPr>
            </w:pPr>
          </w:p>
        </w:tc>
        <w:tc>
          <w:tcPr>
            <w:tcW w:w="709" w:type="dxa"/>
            <w:vAlign w:val="center"/>
          </w:tcPr>
          <w:p w14:paraId="1377B682" w14:textId="77777777" w:rsidR="00E01366" w:rsidRPr="001D33A5" w:rsidRDefault="00E01366" w:rsidP="001D33A5">
            <w:pPr>
              <w:rPr>
                <w:rFonts w:ascii="Arial" w:hAnsi="Arial" w:cs="Arial"/>
                <w:sz w:val="20"/>
                <w:szCs w:val="20"/>
              </w:rPr>
            </w:pPr>
          </w:p>
        </w:tc>
        <w:tc>
          <w:tcPr>
            <w:tcW w:w="624" w:type="dxa"/>
            <w:vAlign w:val="center"/>
          </w:tcPr>
          <w:p w14:paraId="72A1492E" w14:textId="77777777" w:rsidR="00E01366" w:rsidRPr="001D33A5" w:rsidRDefault="00E01366" w:rsidP="001D33A5">
            <w:pPr>
              <w:rPr>
                <w:rFonts w:ascii="Arial" w:hAnsi="Arial" w:cs="Arial"/>
                <w:sz w:val="20"/>
                <w:szCs w:val="20"/>
              </w:rPr>
            </w:pPr>
          </w:p>
        </w:tc>
        <w:tc>
          <w:tcPr>
            <w:tcW w:w="579" w:type="dxa"/>
            <w:tcBorders>
              <w:bottom w:val="single" w:sz="4" w:space="0" w:color="auto"/>
            </w:tcBorders>
            <w:vAlign w:val="center"/>
          </w:tcPr>
          <w:p w14:paraId="30814D24" w14:textId="77777777" w:rsidR="00E01366" w:rsidRPr="001D33A5" w:rsidRDefault="00E01366" w:rsidP="001D33A5">
            <w:pPr>
              <w:rPr>
                <w:rFonts w:ascii="Arial" w:hAnsi="Arial" w:cs="Arial"/>
                <w:sz w:val="20"/>
                <w:szCs w:val="20"/>
              </w:rPr>
            </w:pPr>
          </w:p>
        </w:tc>
        <w:tc>
          <w:tcPr>
            <w:tcW w:w="603" w:type="dxa"/>
            <w:vAlign w:val="center"/>
          </w:tcPr>
          <w:p w14:paraId="6B79396A" w14:textId="77777777" w:rsidR="00E01366" w:rsidRPr="001D33A5" w:rsidRDefault="00E01366" w:rsidP="001D33A5">
            <w:pPr>
              <w:rPr>
                <w:rFonts w:ascii="Arial" w:hAnsi="Arial" w:cs="Arial"/>
                <w:sz w:val="20"/>
                <w:szCs w:val="20"/>
              </w:rPr>
            </w:pPr>
          </w:p>
        </w:tc>
        <w:tc>
          <w:tcPr>
            <w:tcW w:w="595" w:type="dxa"/>
            <w:vAlign w:val="center"/>
          </w:tcPr>
          <w:p w14:paraId="249C8175" w14:textId="77777777" w:rsidR="00E01366" w:rsidRPr="001D33A5" w:rsidRDefault="00E01366" w:rsidP="001D33A5">
            <w:pPr>
              <w:rPr>
                <w:rFonts w:ascii="Arial" w:hAnsi="Arial" w:cs="Arial"/>
                <w:sz w:val="20"/>
                <w:szCs w:val="20"/>
              </w:rPr>
            </w:pPr>
          </w:p>
        </w:tc>
        <w:tc>
          <w:tcPr>
            <w:tcW w:w="592" w:type="dxa"/>
            <w:tcBorders>
              <w:bottom w:val="single" w:sz="4" w:space="0" w:color="auto"/>
            </w:tcBorders>
            <w:vAlign w:val="center"/>
          </w:tcPr>
          <w:p w14:paraId="231F395A" w14:textId="77777777" w:rsidR="00E01366" w:rsidRPr="001D33A5" w:rsidRDefault="00E01366" w:rsidP="001D33A5">
            <w:pPr>
              <w:rPr>
                <w:rFonts w:ascii="Arial" w:hAnsi="Arial" w:cs="Arial"/>
                <w:sz w:val="20"/>
                <w:szCs w:val="20"/>
              </w:rPr>
            </w:pPr>
          </w:p>
        </w:tc>
        <w:tc>
          <w:tcPr>
            <w:tcW w:w="593" w:type="dxa"/>
            <w:vAlign w:val="center"/>
          </w:tcPr>
          <w:p w14:paraId="7FE7EEFC" w14:textId="77777777" w:rsidR="00E01366" w:rsidRPr="001D33A5" w:rsidRDefault="00E01366" w:rsidP="001D33A5">
            <w:pPr>
              <w:rPr>
                <w:rFonts w:ascii="Arial" w:hAnsi="Arial" w:cs="Arial"/>
                <w:sz w:val="20"/>
                <w:szCs w:val="20"/>
              </w:rPr>
            </w:pPr>
          </w:p>
        </w:tc>
        <w:tc>
          <w:tcPr>
            <w:tcW w:w="592" w:type="dxa"/>
            <w:vAlign w:val="center"/>
          </w:tcPr>
          <w:p w14:paraId="7FC829B6" w14:textId="77777777" w:rsidR="00E01366" w:rsidRPr="001D33A5" w:rsidRDefault="00E01366" w:rsidP="001D33A5">
            <w:pPr>
              <w:rPr>
                <w:rFonts w:ascii="Arial" w:hAnsi="Arial" w:cs="Arial"/>
                <w:sz w:val="20"/>
                <w:szCs w:val="20"/>
              </w:rPr>
            </w:pPr>
          </w:p>
        </w:tc>
        <w:tc>
          <w:tcPr>
            <w:tcW w:w="592" w:type="dxa"/>
            <w:tcBorders>
              <w:bottom w:val="single" w:sz="4" w:space="0" w:color="auto"/>
            </w:tcBorders>
            <w:vAlign w:val="center"/>
          </w:tcPr>
          <w:p w14:paraId="3CF5282C" w14:textId="77777777" w:rsidR="00E01366" w:rsidRPr="001D33A5" w:rsidRDefault="00E01366" w:rsidP="001D33A5">
            <w:pPr>
              <w:rPr>
                <w:rFonts w:ascii="Arial" w:hAnsi="Arial" w:cs="Arial"/>
                <w:sz w:val="20"/>
                <w:szCs w:val="20"/>
              </w:rPr>
            </w:pPr>
          </w:p>
        </w:tc>
        <w:tc>
          <w:tcPr>
            <w:tcW w:w="767" w:type="dxa"/>
            <w:tcBorders>
              <w:right w:val="single" w:sz="4" w:space="0" w:color="auto"/>
            </w:tcBorders>
            <w:vAlign w:val="center"/>
          </w:tcPr>
          <w:p w14:paraId="2412FFF8" w14:textId="77777777" w:rsidR="00E01366" w:rsidRPr="001D33A5" w:rsidRDefault="00E01366" w:rsidP="001D33A5">
            <w:pPr>
              <w:rPr>
                <w:rFonts w:ascii="Arial" w:hAnsi="Arial" w:cs="Arial"/>
                <w:sz w:val="20"/>
                <w:szCs w:val="20"/>
              </w:rPr>
            </w:pPr>
          </w:p>
        </w:tc>
      </w:tr>
      <w:tr w:rsidR="00C15DC8" w:rsidRPr="001D33A5"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1D33A5" w:rsidRDefault="00E01366" w:rsidP="001D33A5">
            <w:pPr>
              <w:rPr>
                <w:rFonts w:ascii="Arial" w:hAnsi="Arial" w:cs="Arial"/>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1D33A5" w:rsidRDefault="00871BC1" w:rsidP="001D33A5">
            <w:pPr>
              <w:jc w:val="center"/>
              <w:rPr>
                <w:rFonts w:ascii="Arial" w:hAnsi="Arial" w:cs="Arial"/>
                <w:sz w:val="20"/>
                <w:szCs w:val="20"/>
              </w:rPr>
            </w:pPr>
            <w:r w:rsidRPr="001D33A5">
              <w:rPr>
                <w:rFonts w:ascii="Arial" w:hAnsi="Arial" w:cs="Arial"/>
                <w:sz w:val="20"/>
                <w:szCs w:val="20"/>
              </w:rPr>
              <w:t>SI</w:t>
            </w:r>
          </w:p>
        </w:tc>
        <w:tc>
          <w:tcPr>
            <w:tcW w:w="650" w:type="dxa"/>
            <w:tcBorders>
              <w:left w:val="single" w:sz="4" w:space="0" w:color="auto"/>
            </w:tcBorders>
            <w:shd w:val="clear" w:color="auto" w:fill="auto"/>
            <w:vAlign w:val="center"/>
          </w:tcPr>
          <w:p w14:paraId="41BB2538" w14:textId="77777777" w:rsidR="00E01366" w:rsidRPr="001D33A5" w:rsidRDefault="00E01366" w:rsidP="001D33A5">
            <w:pPr>
              <w:jc w:val="center"/>
              <w:rPr>
                <w:rFonts w:ascii="Arial" w:hAnsi="Arial" w:cs="Arial"/>
                <w:sz w:val="20"/>
                <w:szCs w:val="20"/>
              </w:rPr>
            </w:pPr>
          </w:p>
        </w:tc>
        <w:tc>
          <w:tcPr>
            <w:tcW w:w="681" w:type="dxa"/>
            <w:tcBorders>
              <w:right w:val="single" w:sz="4" w:space="0" w:color="auto"/>
            </w:tcBorders>
            <w:shd w:val="clear" w:color="auto" w:fill="auto"/>
            <w:vAlign w:val="center"/>
          </w:tcPr>
          <w:p w14:paraId="438FAB23" w14:textId="77777777" w:rsidR="00E01366" w:rsidRPr="001D33A5" w:rsidRDefault="00E01366" w:rsidP="001D33A5">
            <w:pPr>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1D33A5" w:rsidRDefault="00871BC1" w:rsidP="001D33A5">
            <w:pPr>
              <w:jc w:val="center"/>
              <w:rPr>
                <w:rFonts w:ascii="Arial" w:hAnsi="Arial" w:cs="Arial"/>
                <w:sz w:val="20"/>
                <w:szCs w:val="20"/>
              </w:rPr>
            </w:pPr>
            <w:r w:rsidRPr="001D33A5">
              <w:rPr>
                <w:rFonts w:ascii="Arial" w:hAnsi="Arial" w:cs="Arial"/>
                <w:sz w:val="20"/>
                <w:szCs w:val="20"/>
              </w:rPr>
              <w:t>SI</w:t>
            </w:r>
          </w:p>
        </w:tc>
        <w:tc>
          <w:tcPr>
            <w:tcW w:w="709" w:type="dxa"/>
            <w:tcBorders>
              <w:left w:val="single" w:sz="4" w:space="0" w:color="auto"/>
            </w:tcBorders>
            <w:shd w:val="clear" w:color="auto" w:fill="auto"/>
            <w:vAlign w:val="center"/>
          </w:tcPr>
          <w:p w14:paraId="523175AE" w14:textId="77777777" w:rsidR="00E01366" w:rsidRPr="001D33A5" w:rsidRDefault="00E01366" w:rsidP="001D33A5">
            <w:pPr>
              <w:jc w:val="center"/>
              <w:rPr>
                <w:rFonts w:ascii="Arial" w:hAnsi="Arial" w:cs="Arial"/>
                <w:sz w:val="20"/>
                <w:szCs w:val="20"/>
              </w:rPr>
            </w:pPr>
          </w:p>
        </w:tc>
        <w:tc>
          <w:tcPr>
            <w:tcW w:w="624" w:type="dxa"/>
            <w:tcBorders>
              <w:right w:val="single" w:sz="4" w:space="0" w:color="auto"/>
            </w:tcBorders>
            <w:shd w:val="clear" w:color="auto" w:fill="auto"/>
            <w:vAlign w:val="center"/>
          </w:tcPr>
          <w:p w14:paraId="4E7C74A5" w14:textId="77777777" w:rsidR="00E01366" w:rsidRPr="001D33A5" w:rsidRDefault="00E01366" w:rsidP="001D33A5">
            <w:pPr>
              <w:jc w:val="center"/>
              <w:rPr>
                <w:rFonts w:ascii="Arial" w:hAnsi="Arial" w:cs="Arial"/>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1B543C81" w:rsidR="00E01366" w:rsidRPr="001D33A5" w:rsidRDefault="00C15DC8" w:rsidP="001D33A5">
            <w:pPr>
              <w:jc w:val="center"/>
              <w:rPr>
                <w:rFonts w:ascii="Arial" w:hAnsi="Arial" w:cs="Arial"/>
                <w:sz w:val="20"/>
                <w:szCs w:val="20"/>
              </w:rPr>
            </w:pPr>
            <w:r w:rsidRPr="001D33A5">
              <w:rPr>
                <w:rFonts w:ascii="Arial" w:hAnsi="Arial" w:cs="Arial"/>
                <w:sz w:val="20"/>
                <w:szCs w:val="20"/>
              </w:rPr>
              <w:t>NO</w:t>
            </w:r>
          </w:p>
        </w:tc>
        <w:tc>
          <w:tcPr>
            <w:tcW w:w="603" w:type="dxa"/>
            <w:tcBorders>
              <w:left w:val="single" w:sz="4" w:space="0" w:color="auto"/>
            </w:tcBorders>
            <w:shd w:val="clear" w:color="auto" w:fill="auto"/>
            <w:vAlign w:val="center"/>
          </w:tcPr>
          <w:p w14:paraId="17ADF476" w14:textId="77777777" w:rsidR="00E01366" w:rsidRPr="001D33A5" w:rsidRDefault="00E01366" w:rsidP="001D33A5">
            <w:pPr>
              <w:jc w:val="center"/>
              <w:rPr>
                <w:rFonts w:ascii="Arial" w:hAnsi="Arial" w:cs="Arial"/>
                <w:sz w:val="20"/>
                <w:szCs w:val="20"/>
              </w:rPr>
            </w:pPr>
          </w:p>
        </w:tc>
        <w:tc>
          <w:tcPr>
            <w:tcW w:w="595" w:type="dxa"/>
            <w:tcBorders>
              <w:right w:val="single" w:sz="4" w:space="0" w:color="auto"/>
            </w:tcBorders>
            <w:shd w:val="clear" w:color="auto" w:fill="auto"/>
            <w:vAlign w:val="center"/>
          </w:tcPr>
          <w:p w14:paraId="07881BB4" w14:textId="77777777" w:rsidR="00E01366" w:rsidRPr="001D33A5" w:rsidRDefault="00E01366" w:rsidP="001D33A5">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2B8E0959" w:rsidR="00E01366" w:rsidRPr="001D33A5" w:rsidRDefault="00C15DC8" w:rsidP="001D33A5">
            <w:pPr>
              <w:jc w:val="center"/>
              <w:rPr>
                <w:rFonts w:ascii="Arial" w:hAnsi="Arial" w:cs="Arial"/>
                <w:sz w:val="20"/>
                <w:szCs w:val="20"/>
              </w:rPr>
            </w:pPr>
            <w:r w:rsidRPr="001D33A5">
              <w:rPr>
                <w:rFonts w:ascii="Arial" w:hAnsi="Arial" w:cs="Arial"/>
                <w:sz w:val="20"/>
                <w:szCs w:val="20"/>
              </w:rPr>
              <w:t>NO</w:t>
            </w:r>
          </w:p>
        </w:tc>
        <w:tc>
          <w:tcPr>
            <w:tcW w:w="593" w:type="dxa"/>
            <w:tcBorders>
              <w:left w:val="single" w:sz="4" w:space="0" w:color="auto"/>
            </w:tcBorders>
            <w:shd w:val="clear" w:color="auto" w:fill="auto"/>
            <w:vAlign w:val="center"/>
          </w:tcPr>
          <w:p w14:paraId="645C62CE" w14:textId="77777777" w:rsidR="00E01366" w:rsidRPr="001D33A5" w:rsidRDefault="00E01366" w:rsidP="001D33A5">
            <w:pPr>
              <w:jc w:val="center"/>
              <w:rPr>
                <w:rFonts w:ascii="Arial" w:hAnsi="Arial" w:cs="Arial"/>
                <w:sz w:val="20"/>
                <w:szCs w:val="20"/>
              </w:rPr>
            </w:pPr>
          </w:p>
        </w:tc>
        <w:tc>
          <w:tcPr>
            <w:tcW w:w="592" w:type="dxa"/>
            <w:tcBorders>
              <w:left w:val="nil"/>
              <w:right w:val="single" w:sz="4" w:space="0" w:color="auto"/>
            </w:tcBorders>
            <w:shd w:val="clear" w:color="auto" w:fill="auto"/>
            <w:vAlign w:val="center"/>
          </w:tcPr>
          <w:p w14:paraId="4747651B" w14:textId="77777777" w:rsidR="00E01366" w:rsidRPr="001D33A5" w:rsidRDefault="00E01366" w:rsidP="001D33A5">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1D33A5" w:rsidRDefault="00871BC1" w:rsidP="001D33A5">
            <w:pPr>
              <w:jc w:val="center"/>
              <w:rPr>
                <w:rFonts w:ascii="Arial" w:hAnsi="Arial" w:cs="Arial"/>
                <w:sz w:val="20"/>
                <w:szCs w:val="20"/>
              </w:rPr>
            </w:pPr>
            <w:r w:rsidRPr="001D33A5">
              <w:rPr>
                <w:rFonts w:ascii="Arial" w:hAnsi="Arial" w:cs="Arial"/>
                <w:sz w:val="20"/>
                <w:szCs w:val="20"/>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1D33A5" w:rsidRDefault="00E01366" w:rsidP="001D33A5">
            <w:pPr>
              <w:jc w:val="center"/>
              <w:rPr>
                <w:rFonts w:ascii="Arial" w:hAnsi="Arial" w:cs="Arial"/>
                <w:sz w:val="20"/>
                <w:szCs w:val="20"/>
              </w:rPr>
            </w:pPr>
          </w:p>
        </w:tc>
      </w:tr>
      <w:tr w:rsidR="00C15DC8" w:rsidRPr="001D33A5"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1D33A5" w:rsidRDefault="00E01366" w:rsidP="001D33A5">
            <w:pPr>
              <w:rPr>
                <w:rFonts w:ascii="Arial" w:hAnsi="Arial" w:cs="Arial"/>
                <w:sz w:val="20"/>
                <w:szCs w:val="20"/>
              </w:rPr>
            </w:pPr>
          </w:p>
        </w:tc>
        <w:tc>
          <w:tcPr>
            <w:tcW w:w="580" w:type="dxa"/>
            <w:tcBorders>
              <w:top w:val="single" w:sz="4" w:space="0" w:color="auto"/>
              <w:bottom w:val="single" w:sz="4" w:space="0" w:color="auto"/>
            </w:tcBorders>
            <w:shd w:val="clear" w:color="auto" w:fill="auto"/>
            <w:vAlign w:val="center"/>
          </w:tcPr>
          <w:p w14:paraId="6BFA95E3" w14:textId="77777777" w:rsidR="00E01366" w:rsidRPr="001D33A5" w:rsidRDefault="00E01366" w:rsidP="001D33A5">
            <w:pPr>
              <w:jc w:val="center"/>
              <w:rPr>
                <w:rFonts w:ascii="Arial" w:hAnsi="Arial" w:cs="Arial"/>
                <w:sz w:val="20"/>
                <w:szCs w:val="20"/>
              </w:rPr>
            </w:pPr>
          </w:p>
        </w:tc>
        <w:tc>
          <w:tcPr>
            <w:tcW w:w="650" w:type="dxa"/>
            <w:tcBorders>
              <w:bottom w:val="single" w:sz="4" w:space="0" w:color="auto"/>
            </w:tcBorders>
            <w:shd w:val="clear" w:color="auto" w:fill="auto"/>
            <w:vAlign w:val="center"/>
          </w:tcPr>
          <w:p w14:paraId="075524EC" w14:textId="77777777" w:rsidR="00E01366" w:rsidRPr="001D33A5" w:rsidRDefault="00E01366" w:rsidP="001D33A5">
            <w:pPr>
              <w:jc w:val="center"/>
              <w:rPr>
                <w:rFonts w:ascii="Arial" w:hAnsi="Arial" w:cs="Arial"/>
                <w:sz w:val="20"/>
                <w:szCs w:val="20"/>
              </w:rPr>
            </w:pPr>
          </w:p>
        </w:tc>
        <w:tc>
          <w:tcPr>
            <w:tcW w:w="681" w:type="dxa"/>
            <w:tcBorders>
              <w:bottom w:val="single" w:sz="4" w:space="0" w:color="auto"/>
            </w:tcBorders>
            <w:shd w:val="clear" w:color="auto" w:fill="auto"/>
            <w:vAlign w:val="center"/>
          </w:tcPr>
          <w:p w14:paraId="68762429" w14:textId="77777777" w:rsidR="00E01366" w:rsidRPr="001D33A5" w:rsidRDefault="00E01366" w:rsidP="001D33A5">
            <w:pPr>
              <w:jc w:val="center"/>
              <w:rPr>
                <w:rFonts w:ascii="Arial" w:hAnsi="Arial" w:cs="Arial"/>
                <w:sz w:val="20"/>
                <w:szCs w:val="20"/>
              </w:rPr>
            </w:pPr>
          </w:p>
        </w:tc>
        <w:tc>
          <w:tcPr>
            <w:tcW w:w="591" w:type="dxa"/>
            <w:tcBorders>
              <w:top w:val="single" w:sz="4" w:space="0" w:color="auto"/>
              <w:bottom w:val="single" w:sz="4" w:space="0" w:color="auto"/>
            </w:tcBorders>
            <w:shd w:val="clear" w:color="auto" w:fill="auto"/>
            <w:vAlign w:val="center"/>
          </w:tcPr>
          <w:p w14:paraId="17561C1A" w14:textId="77777777" w:rsidR="00E01366" w:rsidRPr="001D33A5" w:rsidRDefault="00E01366" w:rsidP="001D33A5">
            <w:pPr>
              <w:jc w:val="center"/>
              <w:rPr>
                <w:rFonts w:ascii="Arial" w:hAnsi="Arial" w:cs="Arial"/>
                <w:sz w:val="20"/>
                <w:szCs w:val="20"/>
              </w:rPr>
            </w:pPr>
          </w:p>
        </w:tc>
        <w:tc>
          <w:tcPr>
            <w:tcW w:w="709" w:type="dxa"/>
            <w:tcBorders>
              <w:bottom w:val="single" w:sz="4" w:space="0" w:color="auto"/>
            </w:tcBorders>
            <w:shd w:val="clear" w:color="auto" w:fill="auto"/>
            <w:vAlign w:val="center"/>
          </w:tcPr>
          <w:p w14:paraId="5D80D7CD" w14:textId="77777777" w:rsidR="00E01366" w:rsidRPr="001D33A5" w:rsidRDefault="00E01366" w:rsidP="001D33A5">
            <w:pPr>
              <w:jc w:val="center"/>
              <w:rPr>
                <w:rFonts w:ascii="Arial" w:hAnsi="Arial" w:cs="Arial"/>
                <w:sz w:val="20"/>
                <w:szCs w:val="20"/>
              </w:rPr>
            </w:pPr>
          </w:p>
        </w:tc>
        <w:tc>
          <w:tcPr>
            <w:tcW w:w="624" w:type="dxa"/>
            <w:tcBorders>
              <w:bottom w:val="single" w:sz="4" w:space="0" w:color="auto"/>
            </w:tcBorders>
            <w:shd w:val="clear" w:color="auto" w:fill="auto"/>
            <w:vAlign w:val="center"/>
          </w:tcPr>
          <w:p w14:paraId="32E3C2D1" w14:textId="77777777" w:rsidR="00E01366" w:rsidRPr="001D33A5" w:rsidRDefault="00E01366" w:rsidP="001D33A5">
            <w:pPr>
              <w:jc w:val="center"/>
              <w:rPr>
                <w:rFonts w:ascii="Arial" w:hAnsi="Arial" w:cs="Arial"/>
                <w:sz w:val="20"/>
                <w:szCs w:val="20"/>
              </w:rPr>
            </w:pPr>
          </w:p>
        </w:tc>
        <w:tc>
          <w:tcPr>
            <w:tcW w:w="579" w:type="dxa"/>
            <w:tcBorders>
              <w:top w:val="single" w:sz="4" w:space="0" w:color="auto"/>
              <w:bottom w:val="single" w:sz="4" w:space="0" w:color="auto"/>
            </w:tcBorders>
            <w:shd w:val="clear" w:color="auto" w:fill="auto"/>
            <w:vAlign w:val="center"/>
          </w:tcPr>
          <w:p w14:paraId="66B5A29E" w14:textId="77777777" w:rsidR="00E01366" w:rsidRPr="001D33A5" w:rsidRDefault="00E01366" w:rsidP="001D33A5">
            <w:pPr>
              <w:jc w:val="center"/>
              <w:rPr>
                <w:rFonts w:ascii="Arial" w:hAnsi="Arial" w:cs="Arial"/>
                <w:sz w:val="20"/>
                <w:szCs w:val="20"/>
              </w:rPr>
            </w:pPr>
          </w:p>
        </w:tc>
        <w:tc>
          <w:tcPr>
            <w:tcW w:w="603" w:type="dxa"/>
            <w:tcBorders>
              <w:bottom w:val="single" w:sz="4" w:space="0" w:color="auto"/>
            </w:tcBorders>
            <w:shd w:val="clear" w:color="auto" w:fill="auto"/>
            <w:vAlign w:val="center"/>
          </w:tcPr>
          <w:p w14:paraId="612C674E" w14:textId="77777777" w:rsidR="00E01366" w:rsidRPr="001D33A5" w:rsidRDefault="00E01366" w:rsidP="001D33A5">
            <w:pPr>
              <w:jc w:val="center"/>
              <w:rPr>
                <w:rFonts w:ascii="Arial" w:hAnsi="Arial" w:cs="Arial"/>
                <w:sz w:val="20"/>
                <w:szCs w:val="20"/>
              </w:rPr>
            </w:pPr>
          </w:p>
        </w:tc>
        <w:tc>
          <w:tcPr>
            <w:tcW w:w="595" w:type="dxa"/>
            <w:tcBorders>
              <w:bottom w:val="single" w:sz="4" w:space="0" w:color="auto"/>
            </w:tcBorders>
            <w:shd w:val="clear" w:color="auto" w:fill="auto"/>
            <w:vAlign w:val="center"/>
          </w:tcPr>
          <w:p w14:paraId="7F84085A" w14:textId="77777777" w:rsidR="00E01366" w:rsidRPr="001D33A5" w:rsidRDefault="00E01366" w:rsidP="001D33A5">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07416FEA" w14:textId="77777777" w:rsidR="00E01366" w:rsidRPr="001D33A5" w:rsidRDefault="00E01366" w:rsidP="001D33A5">
            <w:pPr>
              <w:jc w:val="center"/>
              <w:rPr>
                <w:rFonts w:ascii="Arial" w:hAnsi="Arial" w:cs="Arial"/>
                <w:sz w:val="20"/>
                <w:szCs w:val="20"/>
              </w:rPr>
            </w:pPr>
          </w:p>
        </w:tc>
        <w:tc>
          <w:tcPr>
            <w:tcW w:w="593" w:type="dxa"/>
            <w:tcBorders>
              <w:bottom w:val="single" w:sz="4" w:space="0" w:color="auto"/>
            </w:tcBorders>
            <w:shd w:val="clear" w:color="auto" w:fill="auto"/>
            <w:vAlign w:val="center"/>
          </w:tcPr>
          <w:p w14:paraId="746F2A5D" w14:textId="77777777" w:rsidR="00E01366" w:rsidRPr="001D33A5" w:rsidRDefault="00E01366" w:rsidP="001D33A5">
            <w:pPr>
              <w:jc w:val="center"/>
              <w:rPr>
                <w:rFonts w:ascii="Arial" w:hAnsi="Arial" w:cs="Arial"/>
                <w:sz w:val="20"/>
                <w:szCs w:val="20"/>
              </w:rPr>
            </w:pPr>
          </w:p>
        </w:tc>
        <w:tc>
          <w:tcPr>
            <w:tcW w:w="592" w:type="dxa"/>
            <w:tcBorders>
              <w:bottom w:val="single" w:sz="4" w:space="0" w:color="auto"/>
            </w:tcBorders>
            <w:shd w:val="clear" w:color="auto" w:fill="auto"/>
            <w:vAlign w:val="center"/>
          </w:tcPr>
          <w:p w14:paraId="67B92120" w14:textId="77777777" w:rsidR="00E01366" w:rsidRPr="001D33A5" w:rsidRDefault="00E01366" w:rsidP="001D33A5">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4438C5D5" w14:textId="77777777" w:rsidR="00E01366" w:rsidRPr="001D33A5" w:rsidRDefault="00E01366" w:rsidP="001D33A5">
            <w:pPr>
              <w:jc w:val="center"/>
              <w:rPr>
                <w:rFonts w:ascii="Arial" w:hAnsi="Arial" w:cs="Arial"/>
                <w:sz w:val="20"/>
                <w:szCs w:val="20"/>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1D33A5" w:rsidRDefault="00E01366" w:rsidP="001D33A5">
            <w:pPr>
              <w:jc w:val="center"/>
              <w:rPr>
                <w:rFonts w:ascii="Arial" w:hAnsi="Arial" w:cs="Arial"/>
                <w:sz w:val="20"/>
                <w:szCs w:val="20"/>
              </w:rPr>
            </w:pPr>
          </w:p>
        </w:tc>
      </w:tr>
    </w:tbl>
    <w:p w14:paraId="56272EEF" w14:textId="77777777" w:rsidR="00E01366" w:rsidRPr="001D33A5" w:rsidRDefault="00E01366" w:rsidP="001D33A5">
      <w:pPr>
        <w:spacing w:line="240" w:lineRule="auto"/>
        <w:rPr>
          <w:rFonts w:ascii="Arial" w:hAnsi="Arial" w:cs="Arial"/>
          <w:color w:val="FF0000"/>
          <w:sz w:val="20"/>
          <w:szCs w:val="20"/>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033"/>
        <w:gridCol w:w="1294"/>
        <w:gridCol w:w="3000"/>
        <w:gridCol w:w="1294"/>
        <w:gridCol w:w="466"/>
        <w:gridCol w:w="851"/>
      </w:tblGrid>
      <w:tr w:rsidR="00917BC3" w:rsidRPr="001D33A5" w14:paraId="0045F3AD" w14:textId="7BCFB288" w:rsidTr="00281C58">
        <w:trPr>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917BC3" w:rsidRPr="001D33A5" w:rsidRDefault="00917BC3" w:rsidP="001D33A5">
            <w:pPr>
              <w:rPr>
                <w:rFonts w:ascii="Arial" w:hAnsi="Arial" w:cs="Arial"/>
                <w:b/>
                <w:sz w:val="20"/>
                <w:szCs w:val="20"/>
              </w:rPr>
            </w:pPr>
            <w:bookmarkStart w:id="1" w:name="_Hlk60147480"/>
            <w:r w:rsidRPr="001D33A5">
              <w:rPr>
                <w:rFonts w:ascii="Arial" w:hAnsi="Arial" w:cs="Arial"/>
                <w:b/>
                <w:bCs/>
                <w:sz w:val="20"/>
                <w:szCs w:val="20"/>
              </w:rPr>
              <w:t>Definición</w:t>
            </w:r>
          </w:p>
        </w:tc>
      </w:tr>
      <w:tr w:rsidR="00917BC3" w:rsidRPr="001D33A5" w14:paraId="2AAFE8C6" w14:textId="77777777" w:rsidTr="00281C58">
        <w:trPr>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917BC3" w:rsidRPr="001D33A5" w:rsidRDefault="00917BC3" w:rsidP="001D33A5">
            <w:pPr>
              <w:rPr>
                <w:rFonts w:ascii="Arial" w:hAnsi="Arial" w:cs="Arial"/>
                <w:sz w:val="20"/>
                <w:szCs w:val="20"/>
              </w:rPr>
            </w:pPr>
          </w:p>
          <w:p w14:paraId="2229022C" w14:textId="02334BC9" w:rsidR="00917BC3" w:rsidRPr="00B96E20" w:rsidRDefault="00917BC3" w:rsidP="00281C58">
            <w:pPr>
              <w:spacing w:after="160" w:line="257" w:lineRule="auto"/>
              <w:contextualSpacing/>
              <w:jc w:val="both"/>
              <w:rPr>
                <w:rFonts w:ascii="Arial" w:eastAsia="Arial" w:hAnsi="Arial" w:cs="Arial"/>
                <w:sz w:val="20"/>
                <w:szCs w:val="20"/>
              </w:rPr>
            </w:pPr>
            <w:r w:rsidRPr="00281C58">
              <w:rPr>
                <w:rFonts w:ascii="Arial" w:eastAsia="Arial" w:hAnsi="Arial" w:cs="Arial"/>
                <w:sz w:val="20"/>
                <w:szCs w:val="20"/>
              </w:rPr>
              <w:t>El indicador representa el número de instalaciones educativas que brindan el modelo de Servicio de Educativo para Atención de Estudiantes con Habilidades Sobresalientes y Alto Desempeño en estado situacional inadecuado respecto al total de instalaciones educativas, expresado como porcentaje de instalaciones educativas con dicha característica.</w:t>
            </w:r>
          </w:p>
          <w:p w14:paraId="384DA3B0" w14:textId="54641B4A" w:rsidR="00917BC3" w:rsidRDefault="00917BC3" w:rsidP="462AB309">
            <w:pPr>
              <w:contextualSpacing/>
              <w:jc w:val="both"/>
              <w:rPr>
                <w:rFonts w:ascii="Arial" w:hAnsi="Arial" w:cs="Arial"/>
                <w:sz w:val="20"/>
                <w:szCs w:val="20"/>
              </w:rPr>
            </w:pPr>
          </w:p>
          <w:p w14:paraId="190696CD" w14:textId="002E5C23" w:rsidR="00917BC3" w:rsidRPr="00CA3050" w:rsidRDefault="00917BC3" w:rsidP="005A2E43">
            <w:pPr>
              <w:contextualSpacing/>
              <w:jc w:val="both"/>
              <w:rPr>
                <w:rFonts w:ascii="Arial" w:hAnsi="Arial" w:cs="Arial"/>
                <w:sz w:val="20"/>
                <w:szCs w:val="20"/>
              </w:rPr>
            </w:pPr>
            <w:r w:rsidRPr="001D33A5">
              <w:rPr>
                <w:rFonts w:ascii="Arial" w:hAnsi="Arial" w:cs="Arial"/>
                <w:sz w:val="20"/>
                <w:szCs w:val="20"/>
              </w:rPr>
              <w:t xml:space="preserve">El indicador estima la brecha de calidad del </w:t>
            </w:r>
            <w:r>
              <w:rPr>
                <w:rFonts w:ascii="Arial" w:hAnsi="Arial" w:cs="Arial"/>
                <w:sz w:val="20"/>
                <w:szCs w:val="20"/>
              </w:rPr>
              <w:t>S</w:t>
            </w:r>
            <w:r w:rsidRPr="001D33A5">
              <w:rPr>
                <w:rFonts w:ascii="Arial" w:hAnsi="Arial" w:cs="Arial"/>
                <w:sz w:val="20"/>
                <w:szCs w:val="20"/>
              </w:rPr>
              <w:t xml:space="preserve">ervicio de Educación Secundaria asociado al desarrollo del “Modelo de </w:t>
            </w:r>
            <w:r>
              <w:rPr>
                <w:rFonts w:ascii="Arial" w:hAnsi="Arial" w:cs="Arial"/>
                <w:sz w:val="20"/>
                <w:szCs w:val="20"/>
              </w:rPr>
              <w:t>S</w:t>
            </w:r>
            <w:r w:rsidRPr="001D33A5">
              <w:rPr>
                <w:rFonts w:ascii="Arial" w:hAnsi="Arial" w:cs="Arial"/>
                <w:sz w:val="20"/>
                <w:szCs w:val="20"/>
              </w:rPr>
              <w:t xml:space="preserve">ervicio </w:t>
            </w:r>
            <w:r>
              <w:rPr>
                <w:rFonts w:ascii="Arial" w:hAnsi="Arial" w:cs="Arial"/>
                <w:sz w:val="20"/>
                <w:szCs w:val="20"/>
              </w:rPr>
              <w:t>E</w:t>
            </w:r>
            <w:r w:rsidRPr="001D33A5">
              <w:rPr>
                <w:rFonts w:ascii="Arial" w:hAnsi="Arial" w:cs="Arial"/>
                <w:sz w:val="20"/>
                <w:szCs w:val="20"/>
              </w:rPr>
              <w:t xml:space="preserve">ducativo para la </w:t>
            </w:r>
            <w:r>
              <w:rPr>
                <w:rFonts w:ascii="Arial" w:hAnsi="Arial" w:cs="Arial"/>
                <w:sz w:val="20"/>
                <w:szCs w:val="20"/>
              </w:rPr>
              <w:t>A</w:t>
            </w:r>
            <w:r w:rsidRPr="001D33A5">
              <w:rPr>
                <w:rFonts w:ascii="Arial" w:hAnsi="Arial" w:cs="Arial"/>
                <w:sz w:val="20"/>
                <w:szCs w:val="20"/>
              </w:rPr>
              <w:t xml:space="preserve">tención de </w:t>
            </w:r>
            <w:r>
              <w:rPr>
                <w:rFonts w:ascii="Arial" w:hAnsi="Arial" w:cs="Arial"/>
                <w:sz w:val="20"/>
                <w:szCs w:val="20"/>
              </w:rPr>
              <w:t>E</w:t>
            </w:r>
            <w:r w:rsidRPr="001D33A5">
              <w:rPr>
                <w:rFonts w:ascii="Arial" w:hAnsi="Arial" w:cs="Arial"/>
                <w:sz w:val="20"/>
                <w:szCs w:val="20"/>
              </w:rPr>
              <w:t xml:space="preserve">studiantes con </w:t>
            </w:r>
            <w:r>
              <w:rPr>
                <w:rFonts w:ascii="Arial" w:hAnsi="Arial" w:cs="Arial"/>
                <w:sz w:val="20"/>
                <w:szCs w:val="20"/>
              </w:rPr>
              <w:t>H</w:t>
            </w:r>
            <w:r w:rsidRPr="001D33A5">
              <w:rPr>
                <w:rFonts w:ascii="Arial" w:hAnsi="Arial" w:cs="Arial"/>
                <w:sz w:val="20"/>
                <w:szCs w:val="20"/>
              </w:rPr>
              <w:t xml:space="preserve">abilidades </w:t>
            </w:r>
            <w:r>
              <w:rPr>
                <w:rFonts w:ascii="Arial" w:hAnsi="Arial" w:cs="Arial"/>
                <w:sz w:val="20"/>
                <w:szCs w:val="20"/>
              </w:rPr>
              <w:t>S</w:t>
            </w:r>
            <w:r w:rsidRPr="001D33A5">
              <w:rPr>
                <w:rFonts w:ascii="Arial" w:hAnsi="Arial" w:cs="Arial"/>
                <w:sz w:val="20"/>
                <w:szCs w:val="20"/>
              </w:rPr>
              <w:t xml:space="preserve">obresalientes y </w:t>
            </w:r>
            <w:r>
              <w:rPr>
                <w:rFonts w:ascii="Arial" w:hAnsi="Arial" w:cs="Arial"/>
                <w:sz w:val="20"/>
                <w:szCs w:val="20"/>
              </w:rPr>
              <w:t>A</w:t>
            </w:r>
            <w:r w:rsidRPr="001D33A5">
              <w:rPr>
                <w:rFonts w:ascii="Arial" w:hAnsi="Arial" w:cs="Arial"/>
                <w:sz w:val="20"/>
                <w:szCs w:val="20"/>
              </w:rPr>
              <w:t xml:space="preserve">lto </w:t>
            </w:r>
            <w:r>
              <w:rPr>
                <w:rFonts w:ascii="Arial" w:hAnsi="Arial" w:cs="Arial"/>
                <w:sz w:val="20"/>
                <w:szCs w:val="20"/>
              </w:rPr>
              <w:t>D</w:t>
            </w:r>
            <w:r w:rsidRPr="001D33A5">
              <w:rPr>
                <w:rFonts w:ascii="Arial" w:hAnsi="Arial" w:cs="Arial"/>
                <w:sz w:val="20"/>
                <w:szCs w:val="20"/>
              </w:rPr>
              <w:t xml:space="preserve">esempeño </w:t>
            </w:r>
            <w:r>
              <w:rPr>
                <w:rFonts w:ascii="Arial" w:hAnsi="Arial" w:cs="Arial"/>
                <w:sz w:val="20"/>
                <w:szCs w:val="20"/>
              </w:rPr>
              <w:t>A</w:t>
            </w:r>
            <w:r w:rsidRPr="001D33A5">
              <w:rPr>
                <w:rFonts w:ascii="Arial" w:hAnsi="Arial" w:cs="Arial"/>
                <w:sz w:val="20"/>
                <w:szCs w:val="20"/>
              </w:rPr>
              <w:t xml:space="preserve">cadémico, </w:t>
            </w:r>
            <w:r>
              <w:rPr>
                <w:rFonts w:ascii="Arial" w:hAnsi="Arial" w:cs="Arial"/>
                <w:sz w:val="20"/>
                <w:szCs w:val="20"/>
              </w:rPr>
              <w:t>A</w:t>
            </w:r>
            <w:r w:rsidRPr="001D33A5">
              <w:rPr>
                <w:rFonts w:ascii="Arial" w:hAnsi="Arial" w:cs="Arial"/>
                <w:sz w:val="20"/>
                <w:szCs w:val="20"/>
              </w:rPr>
              <w:t xml:space="preserve">rtístico y/o </w:t>
            </w:r>
            <w:r>
              <w:rPr>
                <w:rFonts w:ascii="Arial" w:hAnsi="Arial" w:cs="Arial"/>
                <w:sz w:val="20"/>
                <w:szCs w:val="20"/>
              </w:rPr>
              <w:t>D</w:t>
            </w:r>
            <w:r w:rsidRPr="001D33A5">
              <w:rPr>
                <w:rFonts w:ascii="Arial" w:hAnsi="Arial" w:cs="Arial"/>
                <w:sz w:val="20"/>
                <w:szCs w:val="20"/>
              </w:rPr>
              <w:t>eportivo</w:t>
            </w:r>
            <w:r w:rsidRPr="001D33A5">
              <w:rPr>
                <w:rStyle w:val="Refdenotaalpie"/>
                <w:rFonts w:ascii="Arial" w:hAnsi="Arial" w:cs="Arial"/>
                <w:sz w:val="20"/>
                <w:szCs w:val="20"/>
              </w:rPr>
              <w:footnoteReference w:id="1"/>
            </w:r>
            <w:r w:rsidRPr="001D33A5">
              <w:rPr>
                <w:rFonts w:ascii="Arial" w:hAnsi="Arial" w:cs="Arial"/>
                <w:sz w:val="20"/>
                <w:szCs w:val="20"/>
              </w:rPr>
              <w:t xml:space="preserve">” (MSE sobresaliente) y representa la proporción de </w:t>
            </w:r>
            <w:r>
              <w:rPr>
                <w:rFonts w:ascii="Arial" w:hAnsi="Arial" w:cs="Arial"/>
                <w:sz w:val="20"/>
                <w:szCs w:val="20"/>
              </w:rPr>
              <w:t xml:space="preserve">instalaciones </w:t>
            </w:r>
            <w:r w:rsidR="00281C58">
              <w:rPr>
                <w:rFonts w:ascii="Arial" w:hAnsi="Arial" w:cs="Arial"/>
                <w:sz w:val="20"/>
                <w:szCs w:val="20"/>
              </w:rPr>
              <w:t>educativas</w:t>
            </w:r>
            <w:r w:rsidR="00281C58" w:rsidRPr="001D33A5">
              <w:rPr>
                <w:rFonts w:ascii="Arial" w:hAnsi="Arial" w:cs="Arial"/>
                <w:sz w:val="20"/>
                <w:szCs w:val="20"/>
              </w:rPr>
              <w:t xml:space="preserve"> que</w:t>
            </w:r>
            <w:r w:rsidRPr="001D33A5">
              <w:rPr>
                <w:rFonts w:ascii="Arial" w:hAnsi="Arial" w:cs="Arial"/>
                <w:sz w:val="20"/>
                <w:szCs w:val="20"/>
              </w:rPr>
              <w:t xml:space="preserve"> desarrollan el mencionado modelo que, a la fecha de la medición, se encuentra</w:t>
            </w:r>
            <w:r>
              <w:rPr>
                <w:rFonts w:ascii="Arial" w:hAnsi="Arial" w:cs="Arial"/>
                <w:sz w:val="20"/>
                <w:szCs w:val="20"/>
              </w:rPr>
              <w:t>n</w:t>
            </w:r>
            <w:r w:rsidRPr="001D33A5">
              <w:rPr>
                <w:rFonts w:ascii="Arial" w:hAnsi="Arial" w:cs="Arial"/>
                <w:sz w:val="20"/>
                <w:szCs w:val="20"/>
              </w:rPr>
              <w:t xml:space="preserve"> en </w:t>
            </w:r>
            <w:r>
              <w:rPr>
                <w:rFonts w:ascii="Arial" w:hAnsi="Arial" w:cs="Arial"/>
                <w:sz w:val="20"/>
                <w:szCs w:val="20"/>
              </w:rPr>
              <w:t>estado situacional</w:t>
            </w:r>
            <w:r w:rsidRPr="001D33A5">
              <w:rPr>
                <w:rFonts w:ascii="Arial" w:hAnsi="Arial" w:cs="Arial"/>
                <w:sz w:val="20"/>
                <w:szCs w:val="20"/>
              </w:rPr>
              <w:t xml:space="preserve"> inadecuad</w:t>
            </w:r>
            <w:r>
              <w:rPr>
                <w:rFonts w:ascii="Arial" w:hAnsi="Arial" w:cs="Arial"/>
                <w:sz w:val="20"/>
                <w:szCs w:val="20"/>
              </w:rPr>
              <w:t>o</w:t>
            </w:r>
            <w:r w:rsidRPr="001D33A5">
              <w:rPr>
                <w:rFonts w:ascii="Arial" w:hAnsi="Arial" w:cs="Arial"/>
                <w:sz w:val="20"/>
                <w:szCs w:val="20"/>
              </w:rPr>
              <w:t>. En ese sentido, la</w:t>
            </w:r>
            <w:r>
              <w:rPr>
                <w:rFonts w:ascii="Arial" w:hAnsi="Arial" w:cs="Arial"/>
                <w:sz w:val="20"/>
                <w:szCs w:val="20"/>
              </w:rPr>
              <w:t xml:space="preserve"> instalación educativa</w:t>
            </w:r>
            <w:r w:rsidRPr="001D33A5">
              <w:rPr>
                <w:rFonts w:ascii="Arial" w:hAnsi="Arial" w:cs="Arial"/>
                <w:sz w:val="20"/>
                <w:szCs w:val="20"/>
              </w:rPr>
              <w:t xml:space="preserve"> es el conjunto de recursos o factores productivos (infraestructura, equipos, personal, organización, capacidad de gestión entre otros) que, articulados entre sí, tienen la capacidad de proveer bienes o servicios a la población objetivo</w:t>
            </w:r>
            <w:r w:rsidRPr="001D33A5">
              <w:rPr>
                <w:rFonts w:ascii="Arial" w:hAnsi="Arial" w:cs="Arial"/>
                <w:sz w:val="20"/>
                <w:szCs w:val="20"/>
                <w:vertAlign w:val="superscript"/>
              </w:rPr>
              <w:t>.</w:t>
            </w:r>
            <w:r w:rsidRPr="001D33A5">
              <w:rPr>
                <w:rFonts w:ascii="Arial" w:hAnsi="Arial" w:cs="Arial"/>
                <w:sz w:val="20"/>
                <w:szCs w:val="20"/>
              </w:rPr>
              <w:t xml:space="preserve"> La estructura de una</w:t>
            </w:r>
            <w:r>
              <w:rPr>
                <w:rFonts w:ascii="Arial" w:hAnsi="Arial" w:cs="Arial"/>
                <w:sz w:val="20"/>
                <w:szCs w:val="20"/>
              </w:rPr>
              <w:t xml:space="preserve"> instalación educativa</w:t>
            </w:r>
            <w:r w:rsidRPr="001D33A5">
              <w:rPr>
                <w:rFonts w:ascii="Arial" w:hAnsi="Arial" w:cs="Arial"/>
                <w:sz w:val="20"/>
                <w:szCs w:val="20"/>
              </w:rPr>
              <w:t xml:space="preserve"> corresponde a una agregación de activos respecto a los servicios que esta brinda y a los procesos de producción correspondientes</w:t>
            </w:r>
            <w:r w:rsidRPr="002C042C">
              <w:rPr>
                <w:rFonts w:ascii="Arial" w:hAnsi="Arial" w:cs="Arial"/>
                <w:b/>
                <w:bCs/>
                <w:sz w:val="20"/>
                <w:szCs w:val="20"/>
              </w:rPr>
              <w:t xml:space="preserve">. Las instalaciones educativas asociadas al presente servicio </w:t>
            </w:r>
            <w:r w:rsidR="00360C07">
              <w:rPr>
                <w:rFonts w:ascii="Arial" w:hAnsi="Arial" w:cs="Arial"/>
                <w:b/>
                <w:bCs/>
                <w:sz w:val="20"/>
                <w:szCs w:val="20"/>
              </w:rPr>
              <w:t>utilizan como referencia para su</w:t>
            </w:r>
            <w:r w:rsidRPr="002C042C">
              <w:rPr>
                <w:rFonts w:ascii="Arial" w:hAnsi="Arial" w:cs="Arial"/>
                <w:b/>
                <w:bCs/>
                <w:sz w:val="20"/>
                <w:szCs w:val="20"/>
              </w:rPr>
              <w:t xml:space="preserve"> identifica</w:t>
            </w:r>
            <w:r w:rsidR="00360C07">
              <w:rPr>
                <w:rFonts w:ascii="Arial" w:hAnsi="Arial" w:cs="Arial"/>
                <w:b/>
                <w:bCs/>
                <w:sz w:val="20"/>
                <w:szCs w:val="20"/>
              </w:rPr>
              <w:t>ción</w:t>
            </w:r>
            <w:r w:rsidRPr="002C042C">
              <w:rPr>
                <w:rFonts w:ascii="Arial" w:hAnsi="Arial" w:cs="Arial"/>
                <w:b/>
                <w:bCs/>
                <w:sz w:val="20"/>
                <w:szCs w:val="20"/>
              </w:rPr>
              <w:t xml:space="preserve"> el código </w:t>
            </w:r>
            <w:r w:rsidRPr="002C042C">
              <w:rPr>
                <w:rFonts w:ascii="Arial" w:hAnsi="Arial" w:cs="Arial"/>
                <w:b/>
                <w:bCs/>
                <w:sz w:val="20"/>
                <w:szCs w:val="20"/>
              </w:rPr>
              <w:lastRenderedPageBreak/>
              <w:t>modular</w:t>
            </w:r>
            <w:r w:rsidR="00360C07">
              <w:rPr>
                <w:rStyle w:val="Refdenotaalpie"/>
                <w:rFonts w:ascii="Arial" w:hAnsi="Arial" w:cs="Arial"/>
                <w:sz w:val="20"/>
                <w:szCs w:val="20"/>
              </w:rPr>
              <w:footnoteReference w:id="2"/>
            </w:r>
            <w:r w:rsidRPr="001D33A5">
              <w:rPr>
                <w:rFonts w:ascii="Arial" w:hAnsi="Arial" w:cs="Arial"/>
                <w:sz w:val="20"/>
                <w:szCs w:val="20"/>
              </w:rPr>
              <w:t xml:space="preserve">, mientras que su ubicación puede ser determinada a través del </w:t>
            </w:r>
            <w:r w:rsidR="00360C07">
              <w:rPr>
                <w:rFonts w:ascii="Arial" w:hAnsi="Arial" w:cs="Arial"/>
                <w:sz w:val="20"/>
                <w:szCs w:val="20"/>
              </w:rPr>
              <w:t xml:space="preserve">código de </w:t>
            </w:r>
            <w:r w:rsidRPr="001D33A5">
              <w:rPr>
                <w:rFonts w:ascii="Arial" w:hAnsi="Arial" w:cs="Arial"/>
                <w:sz w:val="20"/>
                <w:szCs w:val="20"/>
              </w:rPr>
              <w:t>local educativo</w:t>
            </w:r>
            <w:r w:rsidR="00360C07">
              <w:rPr>
                <w:rStyle w:val="Refdenotaalpie"/>
                <w:rFonts w:ascii="Arial" w:hAnsi="Arial" w:cs="Arial"/>
                <w:sz w:val="20"/>
                <w:szCs w:val="20"/>
              </w:rPr>
              <w:footnoteReference w:id="3"/>
            </w:r>
            <w:r w:rsidRPr="001D33A5">
              <w:rPr>
                <w:rFonts w:ascii="Arial" w:hAnsi="Arial" w:cs="Arial"/>
                <w:sz w:val="20"/>
                <w:szCs w:val="20"/>
              </w:rPr>
              <w:t xml:space="preserve">, el </w:t>
            </w:r>
            <w:r w:rsidR="00281C58" w:rsidRPr="001D33A5">
              <w:rPr>
                <w:rFonts w:ascii="Arial" w:hAnsi="Arial" w:cs="Arial"/>
                <w:sz w:val="20"/>
                <w:szCs w:val="20"/>
              </w:rPr>
              <w:t>cual identifica</w:t>
            </w:r>
            <w:r w:rsidRPr="001D33A5">
              <w:rPr>
                <w:rFonts w:ascii="Arial" w:hAnsi="Arial" w:cs="Arial"/>
                <w:sz w:val="20"/>
                <w:szCs w:val="20"/>
              </w:rPr>
              <w:t xml:space="preserve"> </w:t>
            </w:r>
            <w:r w:rsidR="00360C07">
              <w:rPr>
                <w:rFonts w:ascii="Arial" w:hAnsi="Arial" w:cs="Arial"/>
                <w:sz w:val="20"/>
                <w:szCs w:val="20"/>
              </w:rPr>
              <w:t xml:space="preserve">físicamente al local donde se presta el </w:t>
            </w:r>
            <w:r w:rsidR="00281C58">
              <w:rPr>
                <w:rFonts w:ascii="Arial" w:hAnsi="Arial" w:cs="Arial"/>
                <w:sz w:val="20"/>
                <w:szCs w:val="20"/>
              </w:rPr>
              <w:t>servicio.</w:t>
            </w:r>
            <w:r>
              <w:rPr>
                <w:rFonts w:ascii="Arial" w:hAnsi="Arial" w:cs="Arial"/>
                <w:sz w:val="20"/>
                <w:szCs w:val="20"/>
              </w:rPr>
              <w:t xml:space="preserve"> </w:t>
            </w:r>
            <w:r w:rsidRPr="005A481B">
              <w:rPr>
                <w:rFonts w:ascii="Arial" w:hAnsi="Arial" w:cs="Arial"/>
                <w:sz w:val="20"/>
                <w:szCs w:val="20"/>
              </w:rPr>
              <w:t>Cabe precisar que, un</w:t>
            </w:r>
            <w:r>
              <w:rPr>
                <w:rFonts w:ascii="Arial" w:hAnsi="Arial" w:cs="Arial"/>
                <w:sz w:val="20"/>
                <w:szCs w:val="20"/>
              </w:rPr>
              <w:t xml:space="preserve"> mismo</w:t>
            </w:r>
            <w:r w:rsidRPr="005A481B">
              <w:rPr>
                <w:rFonts w:ascii="Arial" w:hAnsi="Arial" w:cs="Arial"/>
                <w:sz w:val="20"/>
                <w:szCs w:val="20"/>
              </w:rPr>
              <w:t xml:space="preserve"> local educativo puede </w:t>
            </w:r>
            <w:r>
              <w:rPr>
                <w:rFonts w:ascii="Arial" w:hAnsi="Arial" w:cs="Arial"/>
                <w:sz w:val="20"/>
                <w:szCs w:val="20"/>
              </w:rPr>
              <w:t xml:space="preserve">albergar </w:t>
            </w:r>
            <w:r w:rsidRPr="005A481B">
              <w:rPr>
                <w:rFonts w:ascii="Arial" w:hAnsi="Arial" w:cs="Arial"/>
                <w:sz w:val="20"/>
                <w:szCs w:val="20"/>
              </w:rPr>
              <w:t>una o más instalaciones educativas</w:t>
            </w:r>
            <w:r>
              <w:rPr>
                <w:rFonts w:ascii="Arial" w:hAnsi="Arial" w:cs="Arial"/>
                <w:sz w:val="20"/>
                <w:szCs w:val="20"/>
              </w:rPr>
              <w:t xml:space="preserve"> correspondientes a distintos servicios</w:t>
            </w:r>
            <w:r w:rsidRPr="005A481B">
              <w:rPr>
                <w:rFonts w:ascii="Arial" w:hAnsi="Arial" w:cs="Arial"/>
                <w:sz w:val="20"/>
                <w:szCs w:val="20"/>
              </w:rPr>
              <w:t>.</w:t>
            </w:r>
          </w:p>
          <w:p w14:paraId="3E49E112" w14:textId="2CD3E3A8" w:rsidR="00917BC3" w:rsidRPr="001D33A5" w:rsidRDefault="00917BC3" w:rsidP="001D33A5">
            <w:pPr>
              <w:contextualSpacing/>
              <w:jc w:val="both"/>
              <w:rPr>
                <w:rFonts w:ascii="Arial" w:hAnsi="Arial" w:cs="Arial"/>
                <w:sz w:val="20"/>
                <w:szCs w:val="20"/>
              </w:rPr>
            </w:pPr>
          </w:p>
          <w:p w14:paraId="11B333E3" w14:textId="40A2DD4A" w:rsidR="00917BC3" w:rsidRPr="001D33A5" w:rsidRDefault="00917BC3" w:rsidP="001D33A5">
            <w:pPr>
              <w:contextualSpacing/>
              <w:jc w:val="both"/>
              <w:rPr>
                <w:rFonts w:ascii="Arial" w:hAnsi="Arial" w:cs="Arial"/>
                <w:sz w:val="20"/>
                <w:szCs w:val="20"/>
              </w:rPr>
            </w:pPr>
            <w:r w:rsidRPr="001D33A5">
              <w:rPr>
                <w:rFonts w:ascii="Arial" w:hAnsi="Arial" w:cs="Arial"/>
                <w:sz w:val="20"/>
                <w:szCs w:val="20"/>
              </w:rPr>
              <w:t>La infraestructura educativa es el soporte físico del servicio educativo y está constituido por el conjunto de predios, espacios, edificaciones, equipamiento y mobiliario</w:t>
            </w:r>
            <w:r w:rsidRPr="002C042C">
              <w:rPr>
                <w:rFonts w:ascii="Arial" w:hAnsi="Arial" w:cs="Arial"/>
                <w:sz w:val="20"/>
                <w:szCs w:val="20"/>
                <w:vertAlign w:val="superscript"/>
              </w:rPr>
              <w:footnoteReference w:id="4"/>
            </w:r>
            <w:r w:rsidRPr="001D33A5">
              <w:rPr>
                <w:rFonts w:ascii="Arial" w:hAnsi="Arial" w:cs="Arial"/>
                <w:sz w:val="20"/>
                <w:szCs w:val="20"/>
                <w:vertAlign w:val="superscript"/>
              </w:rPr>
              <w:t xml:space="preserve">. </w:t>
            </w:r>
            <w:r w:rsidRPr="001D33A5">
              <w:rPr>
                <w:rFonts w:ascii="Arial" w:hAnsi="Arial" w:cs="Arial"/>
                <w:sz w:val="20"/>
                <w:szCs w:val="20"/>
              </w:rPr>
              <w:t>Estos elementos, entre otros, conforman la</w:t>
            </w:r>
            <w:r>
              <w:rPr>
                <w:rFonts w:ascii="Arial" w:hAnsi="Arial" w:cs="Arial"/>
                <w:sz w:val="20"/>
                <w:szCs w:val="20"/>
              </w:rPr>
              <w:t xml:space="preserve"> instalación educativa</w:t>
            </w:r>
            <w:r w:rsidRPr="001D33A5">
              <w:rPr>
                <w:rFonts w:ascii="Arial" w:hAnsi="Arial" w:cs="Arial"/>
                <w:sz w:val="20"/>
                <w:szCs w:val="20"/>
              </w:rPr>
              <w:t>. Se considera que la</w:t>
            </w:r>
            <w:r>
              <w:rPr>
                <w:rFonts w:ascii="Arial" w:hAnsi="Arial" w:cs="Arial"/>
                <w:sz w:val="20"/>
                <w:szCs w:val="20"/>
              </w:rPr>
              <w:t xml:space="preserve"> instalación educativa</w:t>
            </w:r>
            <w:r w:rsidRPr="001D33A5">
              <w:rPr>
                <w:rFonts w:ascii="Arial" w:hAnsi="Arial" w:cs="Arial"/>
                <w:sz w:val="20"/>
                <w:szCs w:val="20"/>
              </w:rPr>
              <w:t xml:space="preserve"> tiene </w:t>
            </w:r>
            <w:r>
              <w:rPr>
                <w:rFonts w:ascii="Arial" w:hAnsi="Arial" w:cs="Arial"/>
                <w:sz w:val="20"/>
                <w:szCs w:val="20"/>
              </w:rPr>
              <w:t xml:space="preserve">estado situacional </w:t>
            </w:r>
            <w:r w:rsidRPr="001D33A5">
              <w:rPr>
                <w:rFonts w:ascii="Arial" w:hAnsi="Arial" w:cs="Arial"/>
                <w:sz w:val="20"/>
                <w:szCs w:val="20"/>
              </w:rPr>
              <w:t>inadecuad</w:t>
            </w:r>
            <w:r>
              <w:rPr>
                <w:rFonts w:ascii="Arial" w:hAnsi="Arial" w:cs="Arial"/>
                <w:sz w:val="20"/>
                <w:szCs w:val="20"/>
              </w:rPr>
              <w:t>o</w:t>
            </w:r>
            <w:r w:rsidRPr="001D33A5">
              <w:rPr>
                <w:rFonts w:ascii="Arial" w:hAnsi="Arial" w:cs="Arial"/>
                <w:sz w:val="20"/>
                <w:szCs w:val="20"/>
              </w:rPr>
              <w:t xml:space="preserve"> </w:t>
            </w:r>
            <w:r>
              <w:rPr>
                <w:rFonts w:ascii="Arial" w:hAnsi="Arial" w:cs="Arial"/>
                <w:sz w:val="20"/>
                <w:szCs w:val="20"/>
              </w:rPr>
              <w:t>cuando su</w:t>
            </w:r>
            <w:r w:rsidRPr="001D33A5">
              <w:rPr>
                <w:rFonts w:ascii="Arial" w:hAnsi="Arial" w:cs="Arial"/>
                <w:sz w:val="20"/>
                <w:szCs w:val="20"/>
              </w:rPr>
              <w:t xml:space="preserve"> infraestructura educativa no cumple con los estándares de calidad para llegar al nivel de servicio deseado, según lo establecido en las normas vigentes, lineamientos y requerimientos del Sector Educación.</w:t>
            </w:r>
          </w:p>
          <w:p w14:paraId="22DA3EDE" w14:textId="77777777" w:rsidR="00917BC3" w:rsidRPr="001D33A5" w:rsidRDefault="00917BC3" w:rsidP="001D33A5">
            <w:pPr>
              <w:jc w:val="both"/>
              <w:rPr>
                <w:rFonts w:ascii="Arial" w:hAnsi="Arial" w:cs="Arial"/>
                <w:sz w:val="20"/>
                <w:szCs w:val="20"/>
              </w:rPr>
            </w:pPr>
          </w:p>
          <w:p w14:paraId="29AA955B" w14:textId="2674AE58" w:rsidR="00917BC3" w:rsidRPr="001D33A5" w:rsidRDefault="00917BC3" w:rsidP="001D33A5">
            <w:pPr>
              <w:jc w:val="both"/>
              <w:rPr>
                <w:rFonts w:ascii="Arial" w:hAnsi="Arial" w:cs="Arial"/>
                <w:sz w:val="20"/>
                <w:szCs w:val="20"/>
              </w:rPr>
            </w:pPr>
            <w:r w:rsidRPr="001D33A5">
              <w:rPr>
                <w:rFonts w:ascii="Arial" w:hAnsi="Arial" w:cs="Arial"/>
                <w:sz w:val="20"/>
                <w:szCs w:val="20"/>
              </w:rPr>
              <w:t xml:space="preserve">El MSE Sobresaliente ofrece un modelo de educación inclusiva, intercultural orientada al bien común y de excelencia para estudiantes de </w:t>
            </w:r>
            <w:r>
              <w:rPr>
                <w:rFonts w:ascii="Arial" w:hAnsi="Arial" w:cs="Arial"/>
                <w:sz w:val="20"/>
                <w:szCs w:val="20"/>
              </w:rPr>
              <w:t xml:space="preserve">instituciones educativas </w:t>
            </w:r>
            <w:r w:rsidRPr="001D33A5">
              <w:rPr>
                <w:rFonts w:ascii="Arial" w:hAnsi="Arial" w:cs="Arial"/>
                <w:sz w:val="20"/>
                <w:szCs w:val="20"/>
              </w:rPr>
              <w:t xml:space="preserve">públicas del </w:t>
            </w:r>
            <w:r>
              <w:rPr>
                <w:rFonts w:ascii="Arial" w:hAnsi="Arial" w:cs="Arial"/>
                <w:sz w:val="20"/>
                <w:szCs w:val="20"/>
              </w:rPr>
              <w:t>N</w:t>
            </w:r>
            <w:r w:rsidRPr="001D33A5">
              <w:rPr>
                <w:rFonts w:ascii="Arial" w:hAnsi="Arial" w:cs="Arial"/>
                <w:sz w:val="20"/>
                <w:szCs w:val="20"/>
              </w:rPr>
              <w:t xml:space="preserve">ivel </w:t>
            </w:r>
            <w:r>
              <w:rPr>
                <w:rFonts w:ascii="Arial" w:hAnsi="Arial" w:cs="Arial"/>
                <w:sz w:val="20"/>
                <w:szCs w:val="20"/>
              </w:rPr>
              <w:t>S</w:t>
            </w:r>
            <w:r w:rsidRPr="001D33A5">
              <w:rPr>
                <w:rFonts w:ascii="Arial" w:hAnsi="Arial" w:cs="Arial"/>
                <w:sz w:val="20"/>
                <w:szCs w:val="20"/>
              </w:rPr>
              <w:t>ecundario de la Educación Básica Regular del Perú, que residen en el ámbito urbano o rural que cuentan con habilidades sobresalientes con potencial para el desarrollo de talentos específicos en los ámbitos académico, artístico y/o deportivo</w:t>
            </w:r>
            <w:r w:rsidRPr="001D33A5">
              <w:rPr>
                <w:rStyle w:val="Refdenotaalpie"/>
                <w:rFonts w:ascii="Arial" w:hAnsi="Arial" w:cs="Arial"/>
                <w:sz w:val="20"/>
                <w:szCs w:val="20"/>
              </w:rPr>
              <w:footnoteReference w:id="5"/>
            </w:r>
            <w:r w:rsidRPr="001D33A5">
              <w:rPr>
                <w:rFonts w:ascii="Arial" w:hAnsi="Arial" w:cs="Arial"/>
                <w:sz w:val="20"/>
                <w:szCs w:val="20"/>
              </w:rPr>
              <w:t>. El plan de estudio se desarrolla a partir del séptimo ciclo de la educación básica regular. Según el Currículo Nacional de la Educación Básica (CNEB), el séptimo ciclo de la Educación Básica Regular se encuentra compuesto por los alumnos del 3º, 4º y 5º grado de secundaria.</w:t>
            </w:r>
          </w:p>
          <w:p w14:paraId="10307B36" w14:textId="77777777" w:rsidR="00917BC3" w:rsidRPr="001D33A5" w:rsidRDefault="00917BC3" w:rsidP="001D33A5">
            <w:pPr>
              <w:jc w:val="both"/>
              <w:rPr>
                <w:rFonts w:ascii="Arial" w:hAnsi="Arial" w:cs="Arial"/>
                <w:sz w:val="20"/>
                <w:szCs w:val="20"/>
              </w:rPr>
            </w:pPr>
          </w:p>
          <w:p w14:paraId="2EF36E1B" w14:textId="27D64658" w:rsidR="00917BC3" w:rsidRPr="001D33A5" w:rsidRDefault="00917BC3" w:rsidP="001D33A5">
            <w:pPr>
              <w:jc w:val="both"/>
              <w:rPr>
                <w:rFonts w:ascii="Arial" w:hAnsi="Arial" w:cs="Arial"/>
                <w:sz w:val="20"/>
                <w:szCs w:val="20"/>
              </w:rPr>
            </w:pPr>
            <w:r w:rsidRPr="001D33A5">
              <w:rPr>
                <w:rFonts w:ascii="Arial" w:hAnsi="Arial" w:cs="Arial"/>
                <w:sz w:val="20"/>
                <w:szCs w:val="20"/>
              </w:rPr>
              <w:t>El MSE Sobresaliente tiene como objetivo dentro de su plan de estudio, desarrollar las competencias del CNEB con proyección a un nivel destacado, y desarrollar a su vez las habilidades previstas en el Programa del Diploma de la Organización de Bachillerato Internacional (OBI)</w:t>
            </w:r>
            <w:r w:rsidRPr="001D33A5">
              <w:rPr>
                <w:rStyle w:val="Refdenotaalpie"/>
                <w:rFonts w:ascii="Arial" w:hAnsi="Arial" w:cs="Arial"/>
                <w:sz w:val="20"/>
                <w:szCs w:val="20"/>
              </w:rPr>
              <w:footnoteReference w:id="6"/>
            </w:r>
            <w:r w:rsidRPr="001D33A5">
              <w:rPr>
                <w:rFonts w:ascii="Arial" w:hAnsi="Arial" w:cs="Arial"/>
                <w:sz w:val="20"/>
                <w:szCs w:val="20"/>
              </w:rPr>
              <w:t xml:space="preserve">. </w:t>
            </w:r>
          </w:p>
          <w:p w14:paraId="2A673DA1" w14:textId="77777777" w:rsidR="00917BC3" w:rsidRPr="001D33A5" w:rsidRDefault="00917BC3" w:rsidP="001D33A5">
            <w:pPr>
              <w:jc w:val="both"/>
              <w:rPr>
                <w:rFonts w:ascii="Arial" w:hAnsi="Arial" w:cs="Arial"/>
                <w:sz w:val="20"/>
                <w:szCs w:val="20"/>
              </w:rPr>
            </w:pPr>
          </w:p>
          <w:p w14:paraId="55B40940" w14:textId="4E954770" w:rsidR="00917BC3" w:rsidRPr="001D33A5" w:rsidRDefault="00917BC3" w:rsidP="001D33A5">
            <w:pPr>
              <w:jc w:val="both"/>
              <w:rPr>
                <w:rFonts w:ascii="Arial" w:hAnsi="Arial" w:cs="Arial"/>
                <w:sz w:val="20"/>
                <w:szCs w:val="20"/>
              </w:rPr>
            </w:pPr>
            <w:r w:rsidRPr="001D33A5">
              <w:rPr>
                <w:rFonts w:ascii="Arial" w:hAnsi="Arial" w:cs="Arial"/>
                <w:sz w:val="20"/>
                <w:szCs w:val="20"/>
              </w:rPr>
              <w:t xml:space="preserve">El presente indicador solo considera a las </w:t>
            </w:r>
            <w:r>
              <w:rPr>
                <w:rFonts w:ascii="Arial" w:hAnsi="Arial" w:cs="Arial"/>
                <w:sz w:val="20"/>
                <w:szCs w:val="20"/>
              </w:rPr>
              <w:t>instalaciones educativas</w:t>
            </w:r>
            <w:r w:rsidRPr="001D33A5">
              <w:rPr>
                <w:rFonts w:ascii="Arial" w:hAnsi="Arial" w:cs="Arial"/>
                <w:sz w:val="20"/>
                <w:szCs w:val="20"/>
              </w:rPr>
              <w:t xml:space="preserve"> asociadas a las </w:t>
            </w:r>
            <w:r>
              <w:rPr>
                <w:rFonts w:ascii="Arial" w:hAnsi="Arial" w:cs="Arial"/>
                <w:sz w:val="20"/>
                <w:szCs w:val="20"/>
              </w:rPr>
              <w:t>instituciones educativas</w:t>
            </w:r>
            <w:r w:rsidRPr="001D33A5">
              <w:rPr>
                <w:rFonts w:ascii="Arial" w:hAnsi="Arial" w:cs="Arial"/>
                <w:sz w:val="20"/>
                <w:szCs w:val="20"/>
              </w:rPr>
              <w:t xml:space="preserve"> de secundaria que tiene un convenio firmado para la implementación del modelo de servicio denominado “Modelo de </w:t>
            </w:r>
            <w:r w:rsidR="00F230D0" w:rsidRPr="00F230D0">
              <w:rPr>
                <w:rFonts w:ascii="Arial" w:hAnsi="Arial" w:cs="Arial"/>
                <w:sz w:val="20"/>
                <w:szCs w:val="20"/>
              </w:rPr>
              <w:t>Servicio Educativo para Atención de Estudiantes con Habilidades Sobresalientes y Alto Desempeño Académico, Artístico y/o Deportivo</w:t>
            </w:r>
            <w:r w:rsidRPr="001D33A5">
              <w:rPr>
                <w:rFonts w:ascii="Arial" w:hAnsi="Arial" w:cs="Arial"/>
                <w:sz w:val="20"/>
                <w:szCs w:val="20"/>
              </w:rPr>
              <w:t>” (MSE Sobresaliente).</w:t>
            </w:r>
          </w:p>
          <w:p w14:paraId="7F52E88A" w14:textId="3015E0F0" w:rsidR="00917BC3" w:rsidRPr="001D33A5" w:rsidRDefault="00917BC3" w:rsidP="001D33A5">
            <w:pPr>
              <w:rPr>
                <w:rFonts w:ascii="Arial" w:hAnsi="Arial" w:cs="Arial"/>
                <w:sz w:val="20"/>
                <w:szCs w:val="20"/>
              </w:rPr>
            </w:pPr>
          </w:p>
        </w:tc>
      </w:tr>
      <w:tr w:rsidR="00917BC3" w:rsidRPr="001D33A5" w14:paraId="55A12013" w14:textId="77777777" w:rsidTr="00281C58">
        <w:trPr>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917BC3" w:rsidRPr="001D33A5" w:rsidRDefault="00917BC3" w:rsidP="001D33A5">
            <w:pPr>
              <w:rPr>
                <w:rFonts w:ascii="Arial" w:hAnsi="Arial" w:cs="Arial"/>
                <w:b/>
                <w:sz w:val="20"/>
                <w:szCs w:val="20"/>
              </w:rPr>
            </w:pPr>
            <w:r w:rsidRPr="001D33A5">
              <w:rPr>
                <w:rFonts w:ascii="Arial" w:hAnsi="Arial" w:cs="Arial"/>
                <w:b/>
                <w:bCs/>
                <w:sz w:val="20"/>
                <w:szCs w:val="20"/>
              </w:rPr>
              <w:lastRenderedPageBreak/>
              <w:t>Justificación</w:t>
            </w:r>
          </w:p>
        </w:tc>
      </w:tr>
      <w:tr w:rsidR="00917BC3" w:rsidRPr="001D33A5" w14:paraId="55F87BB1" w14:textId="77777777" w:rsidTr="00281C58">
        <w:trPr>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39FA2" w14:textId="77777777" w:rsidR="00917BC3" w:rsidRDefault="00917BC3" w:rsidP="001D33A5">
            <w:pPr>
              <w:jc w:val="both"/>
              <w:rPr>
                <w:rFonts w:ascii="Arial" w:hAnsi="Arial" w:cs="Arial"/>
                <w:sz w:val="20"/>
                <w:szCs w:val="20"/>
              </w:rPr>
            </w:pPr>
          </w:p>
          <w:p w14:paraId="5CF69E2B" w14:textId="50658634" w:rsidR="00917BC3" w:rsidRPr="001D33A5" w:rsidRDefault="00917BC3" w:rsidP="001D33A5">
            <w:pPr>
              <w:jc w:val="both"/>
              <w:rPr>
                <w:rFonts w:ascii="Arial" w:hAnsi="Arial" w:cs="Arial"/>
                <w:sz w:val="20"/>
                <w:szCs w:val="20"/>
              </w:rPr>
            </w:pPr>
            <w:r w:rsidRPr="001D33A5">
              <w:rPr>
                <w:rFonts w:ascii="Arial" w:hAnsi="Arial" w:cs="Arial"/>
                <w:sz w:val="20"/>
                <w:szCs w:val="20"/>
              </w:rPr>
              <w:t>El modelo de servicio MSE Sobresaliente, al cual se asocia el presente indicador, inicialmente</w:t>
            </w:r>
            <w:r w:rsidRPr="001D33A5">
              <w:rPr>
                <w:rStyle w:val="Refdenotaalpie"/>
                <w:rFonts w:ascii="Arial" w:hAnsi="Arial" w:cs="Arial"/>
                <w:sz w:val="20"/>
                <w:szCs w:val="20"/>
              </w:rPr>
              <w:footnoteReference w:id="7"/>
            </w:r>
            <w:r w:rsidRPr="001D33A5">
              <w:rPr>
                <w:rFonts w:ascii="Arial" w:hAnsi="Arial" w:cs="Arial"/>
                <w:sz w:val="20"/>
                <w:szCs w:val="20"/>
              </w:rPr>
              <w:t xml:space="preserve">  mencionaba como objetivo general “Proporcionar a los estudiantes de alto desempeño de la Educación Básica Regular de todas las regiones del país un servicio educativo con altos estándares de calidad nacional e internacional que permita fortalecer sus competencias personales, académicas, artísticas y/o deportivas para constituir una red de líderes capaces de contribuir al desarrollo local, regional, nacional y mundial”. Posteriormente, en el año 2019, se actualizó la denominación modelo de servicio a “Modelo de Servicio para la Atención de Estudiantes con Habilidades Sobresalientes” y finalmente en el 2023 se cambió a “</w:t>
            </w:r>
            <w:r w:rsidR="009B2135" w:rsidRPr="009B2135">
              <w:rPr>
                <w:rFonts w:ascii="Arial" w:hAnsi="Arial" w:cs="Arial"/>
                <w:sz w:val="20"/>
                <w:szCs w:val="20"/>
              </w:rPr>
              <w:t>Servicio Educativo para Atención de Estudiantes con Habilidades Sobresalientes y Alto Desempeño Académico, Artístico y/o Deportivo</w:t>
            </w:r>
            <w:r w:rsidR="009B2135">
              <w:rPr>
                <w:rFonts w:ascii="Arial" w:hAnsi="Arial" w:cs="Arial"/>
                <w:sz w:val="20"/>
                <w:szCs w:val="20"/>
              </w:rPr>
              <w:t>”</w:t>
            </w:r>
            <w:r w:rsidR="009B2135" w:rsidRPr="009B2135" w:rsidDel="009B2135">
              <w:rPr>
                <w:rFonts w:ascii="Arial" w:hAnsi="Arial" w:cs="Arial"/>
                <w:sz w:val="20"/>
                <w:szCs w:val="20"/>
              </w:rPr>
              <w:t xml:space="preserve"> </w:t>
            </w:r>
            <w:r w:rsidRPr="001D33A5">
              <w:rPr>
                <w:rFonts w:ascii="Arial" w:hAnsi="Arial" w:cs="Arial"/>
                <w:sz w:val="20"/>
                <w:szCs w:val="20"/>
              </w:rPr>
              <w:t xml:space="preserve">(MSE Sobresaliente). El MSE Sobresaliente ofrece una atención educativa integral que permite a los estudiantes reforzar sus habilidades, así como vincularlas con un plan de vida pleno e integral producto de su trayectoria educativa en el </w:t>
            </w:r>
            <w:r>
              <w:rPr>
                <w:rFonts w:ascii="Arial" w:hAnsi="Arial" w:cs="Arial"/>
                <w:sz w:val="20"/>
                <w:szCs w:val="20"/>
              </w:rPr>
              <w:t>Colegio de Alto rendimiento (</w:t>
            </w:r>
            <w:r w:rsidRPr="001D33A5">
              <w:rPr>
                <w:rFonts w:ascii="Arial" w:hAnsi="Arial" w:cs="Arial"/>
                <w:sz w:val="20"/>
                <w:szCs w:val="20"/>
              </w:rPr>
              <w:t>COAR</w:t>
            </w:r>
            <w:r>
              <w:rPr>
                <w:rFonts w:ascii="Arial" w:hAnsi="Arial" w:cs="Arial"/>
                <w:sz w:val="20"/>
                <w:szCs w:val="20"/>
              </w:rPr>
              <w:t>)</w:t>
            </w:r>
            <w:r w:rsidRPr="001D33A5">
              <w:rPr>
                <w:rFonts w:ascii="Arial" w:hAnsi="Arial" w:cs="Arial"/>
                <w:sz w:val="20"/>
                <w:szCs w:val="20"/>
              </w:rPr>
              <w:t xml:space="preserve">, lo cual permite alcanzar los aprendizajes establecidos para los egresados de la </w:t>
            </w:r>
            <w:r>
              <w:rPr>
                <w:rFonts w:ascii="Arial" w:hAnsi="Arial" w:cs="Arial"/>
                <w:sz w:val="20"/>
                <w:szCs w:val="20"/>
              </w:rPr>
              <w:t>E</w:t>
            </w:r>
            <w:r w:rsidRPr="001D33A5">
              <w:rPr>
                <w:rFonts w:ascii="Arial" w:hAnsi="Arial" w:cs="Arial"/>
                <w:sz w:val="20"/>
                <w:szCs w:val="20"/>
              </w:rPr>
              <w:t xml:space="preserve">ducación </w:t>
            </w:r>
            <w:r>
              <w:rPr>
                <w:rFonts w:ascii="Arial" w:hAnsi="Arial" w:cs="Arial"/>
                <w:sz w:val="20"/>
                <w:szCs w:val="20"/>
              </w:rPr>
              <w:t>B</w:t>
            </w:r>
            <w:r w:rsidRPr="001D33A5">
              <w:rPr>
                <w:rFonts w:ascii="Arial" w:hAnsi="Arial" w:cs="Arial"/>
                <w:sz w:val="20"/>
                <w:szCs w:val="20"/>
              </w:rPr>
              <w:t xml:space="preserve">ásica </w:t>
            </w:r>
            <w:r>
              <w:rPr>
                <w:rFonts w:ascii="Arial" w:hAnsi="Arial" w:cs="Arial"/>
                <w:sz w:val="20"/>
                <w:szCs w:val="20"/>
              </w:rPr>
              <w:t>R</w:t>
            </w:r>
            <w:r w:rsidRPr="001D33A5">
              <w:rPr>
                <w:rFonts w:ascii="Arial" w:hAnsi="Arial" w:cs="Arial"/>
                <w:sz w:val="20"/>
                <w:szCs w:val="20"/>
              </w:rPr>
              <w:t>egular. Para ello, el MSE Sobresaliente se implementa en tres formas de atención diseñadas en función al potenciamiento de las habilidades sobresalientes en los ámbitos académico, deportivo y/o artístico</w:t>
            </w:r>
            <w:r w:rsidRPr="001D33A5">
              <w:rPr>
                <w:rStyle w:val="Refdenotaalpie"/>
                <w:rFonts w:ascii="Arial" w:hAnsi="Arial" w:cs="Arial"/>
                <w:sz w:val="20"/>
                <w:szCs w:val="20"/>
              </w:rPr>
              <w:footnoteReference w:id="8"/>
            </w:r>
            <w:r w:rsidRPr="001D33A5">
              <w:rPr>
                <w:rFonts w:ascii="Arial" w:hAnsi="Arial" w:cs="Arial"/>
                <w:sz w:val="20"/>
                <w:szCs w:val="20"/>
              </w:rPr>
              <w:t>.</w:t>
            </w:r>
          </w:p>
          <w:p w14:paraId="7C1ED26D" w14:textId="77777777" w:rsidR="00917BC3" w:rsidRPr="001D33A5" w:rsidRDefault="00917BC3" w:rsidP="001D33A5">
            <w:pPr>
              <w:jc w:val="both"/>
              <w:rPr>
                <w:rFonts w:ascii="Arial" w:hAnsi="Arial" w:cs="Arial"/>
                <w:sz w:val="20"/>
                <w:szCs w:val="20"/>
              </w:rPr>
            </w:pPr>
          </w:p>
          <w:p w14:paraId="457B94A3" w14:textId="6A478162" w:rsidR="00917BC3" w:rsidRPr="001D33A5" w:rsidRDefault="00917BC3" w:rsidP="001D33A5">
            <w:pPr>
              <w:jc w:val="both"/>
              <w:rPr>
                <w:rFonts w:ascii="Arial" w:hAnsi="Arial" w:cs="Arial"/>
                <w:sz w:val="20"/>
                <w:szCs w:val="20"/>
              </w:rPr>
            </w:pPr>
            <w:r w:rsidRPr="001D33A5">
              <w:rPr>
                <w:rFonts w:ascii="Arial" w:hAnsi="Arial" w:cs="Arial"/>
                <w:sz w:val="20"/>
                <w:szCs w:val="20"/>
              </w:rPr>
              <w:lastRenderedPageBreak/>
              <w:t>Este indicador permite medir directamente la brecha de la infraestructura educativa de las instituciones que desarrollan el MSE Sobresaliente. El</w:t>
            </w:r>
            <w:r>
              <w:rPr>
                <w:rFonts w:ascii="Arial" w:hAnsi="Arial" w:cs="Arial"/>
                <w:sz w:val="20"/>
                <w:szCs w:val="20"/>
              </w:rPr>
              <w:t xml:space="preserve"> avance en el</w:t>
            </w:r>
            <w:r w:rsidRPr="001D33A5">
              <w:rPr>
                <w:rFonts w:ascii="Arial" w:hAnsi="Arial" w:cs="Arial"/>
                <w:sz w:val="20"/>
                <w:szCs w:val="20"/>
              </w:rPr>
              <w:t xml:space="preserve"> cierre de esta brecha está vinculado directamente con la ejecución de proyectos de inversión e inversiones de optimización, de ampliación marginal, de reposición y de rehabilitación</w:t>
            </w:r>
            <w:r>
              <w:rPr>
                <w:rFonts w:ascii="Arial" w:hAnsi="Arial" w:cs="Arial"/>
                <w:sz w:val="20"/>
                <w:szCs w:val="20"/>
              </w:rPr>
              <w:t xml:space="preserve"> (IOARR)</w:t>
            </w:r>
            <w:r w:rsidRPr="001D33A5">
              <w:rPr>
                <w:rFonts w:ascii="Arial" w:hAnsi="Arial" w:cs="Arial"/>
                <w:sz w:val="20"/>
                <w:szCs w:val="20"/>
              </w:rPr>
              <w:t>.</w:t>
            </w:r>
            <w:r w:rsidRPr="001D33A5" w:rsidDel="008D1239">
              <w:rPr>
                <w:rFonts w:ascii="Arial" w:hAnsi="Arial" w:cs="Arial"/>
                <w:sz w:val="20"/>
                <w:szCs w:val="20"/>
              </w:rPr>
              <w:t xml:space="preserve"> </w:t>
            </w:r>
          </w:p>
          <w:p w14:paraId="31020091" w14:textId="77777777" w:rsidR="00917BC3" w:rsidRPr="001D33A5" w:rsidRDefault="00917BC3" w:rsidP="001D33A5">
            <w:pPr>
              <w:jc w:val="both"/>
              <w:rPr>
                <w:rFonts w:ascii="Arial" w:hAnsi="Arial" w:cs="Arial"/>
                <w:sz w:val="20"/>
                <w:szCs w:val="20"/>
              </w:rPr>
            </w:pPr>
          </w:p>
          <w:p w14:paraId="1CCBCFFE" w14:textId="77777777" w:rsidR="00917BC3" w:rsidRDefault="00917BC3" w:rsidP="00560239">
            <w:pPr>
              <w:jc w:val="both"/>
              <w:rPr>
                <w:rFonts w:ascii="Arial" w:hAnsi="Arial" w:cs="Arial"/>
                <w:sz w:val="20"/>
                <w:szCs w:val="20"/>
                <w:lang w:val="es-MX"/>
              </w:rPr>
            </w:pPr>
            <w:r w:rsidRPr="001D33A5">
              <w:rPr>
                <w:rFonts w:ascii="Arial" w:hAnsi="Arial" w:cs="Arial"/>
                <w:sz w:val="20"/>
                <w:szCs w:val="20"/>
                <w:lang w:val="es-MX"/>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acceso al </w:t>
            </w:r>
            <w:r w:rsidRPr="001D33A5">
              <w:rPr>
                <w:rFonts w:ascii="Arial" w:hAnsi="Arial" w:cs="Arial"/>
                <w:sz w:val="20"/>
                <w:szCs w:val="20"/>
              </w:rPr>
              <w:t>MSE Sobresaliente</w:t>
            </w:r>
            <w:r w:rsidRPr="001D33A5">
              <w:rPr>
                <w:rFonts w:ascii="Arial" w:hAnsi="Arial" w:cs="Arial"/>
                <w:sz w:val="20"/>
                <w:szCs w:val="20"/>
                <w:lang w:val="es-MX"/>
              </w:rPr>
              <w:t xml:space="preserve"> en el marco del </w:t>
            </w:r>
            <w:r>
              <w:rPr>
                <w:rFonts w:ascii="Arial" w:hAnsi="Arial" w:cs="Arial"/>
                <w:sz w:val="20"/>
                <w:szCs w:val="20"/>
                <w:lang w:val="es-MX"/>
              </w:rPr>
              <w:t>SNPMGI</w:t>
            </w:r>
            <w:r w:rsidRPr="001D33A5">
              <w:rPr>
                <w:rFonts w:ascii="Arial" w:hAnsi="Arial" w:cs="Arial"/>
                <w:sz w:val="20"/>
                <w:szCs w:val="20"/>
                <w:lang w:val="es-MX"/>
              </w:rPr>
              <w:t>.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45A3DFA9" w:rsidR="00281C58" w:rsidRPr="001D33A5" w:rsidRDefault="00281C58" w:rsidP="00560239">
            <w:pPr>
              <w:jc w:val="both"/>
              <w:rPr>
                <w:rFonts w:ascii="Arial" w:hAnsi="Arial" w:cs="Arial"/>
                <w:b/>
                <w:sz w:val="20"/>
                <w:szCs w:val="20"/>
                <w:lang w:val="es-MX"/>
              </w:rPr>
            </w:pPr>
          </w:p>
        </w:tc>
      </w:tr>
      <w:tr w:rsidR="00917BC3" w:rsidRPr="001D33A5" w14:paraId="2915C75B" w14:textId="77777777" w:rsidTr="00281C58">
        <w:trPr>
          <w:trHeight w:val="241"/>
        </w:trPr>
        <w:tc>
          <w:tcPr>
            <w:tcW w:w="9493" w:type="dxa"/>
            <w:gridSpan w:val="7"/>
            <w:tcBorders>
              <w:top w:val="single" w:sz="4" w:space="0" w:color="auto"/>
              <w:left w:val="single" w:sz="4" w:space="0" w:color="auto"/>
              <w:right w:val="single" w:sz="4" w:space="0" w:color="auto"/>
            </w:tcBorders>
            <w:shd w:val="clear" w:color="auto" w:fill="auto"/>
            <w:vAlign w:val="center"/>
          </w:tcPr>
          <w:p w14:paraId="364C52EB" w14:textId="7FDE5134" w:rsidR="00917BC3" w:rsidRPr="001D33A5" w:rsidRDefault="00917BC3" w:rsidP="001D33A5">
            <w:pPr>
              <w:rPr>
                <w:rFonts w:ascii="Arial" w:hAnsi="Arial" w:cs="Arial"/>
                <w:b/>
                <w:sz w:val="20"/>
                <w:szCs w:val="20"/>
              </w:rPr>
            </w:pPr>
            <w:r w:rsidRPr="001D33A5">
              <w:rPr>
                <w:rFonts w:ascii="Arial" w:hAnsi="Arial" w:cs="Arial"/>
                <w:b/>
                <w:sz w:val="20"/>
                <w:szCs w:val="20"/>
              </w:rPr>
              <w:lastRenderedPageBreak/>
              <w:t>Método de Cálculo</w:t>
            </w:r>
          </w:p>
        </w:tc>
      </w:tr>
      <w:tr w:rsidR="008D1638" w:rsidRPr="00E444B6" w14:paraId="4DEBCCAC" w14:textId="77777777">
        <w:trPr>
          <w:trHeight w:val="165"/>
        </w:trPr>
        <w:tc>
          <w:tcPr>
            <w:tcW w:w="9493" w:type="dxa"/>
            <w:gridSpan w:val="7"/>
            <w:tcBorders>
              <w:top w:val="single" w:sz="4" w:space="0" w:color="auto"/>
              <w:left w:val="single" w:sz="4" w:space="0" w:color="auto"/>
              <w:right w:val="single" w:sz="4" w:space="0" w:color="auto"/>
            </w:tcBorders>
            <w:vAlign w:val="center"/>
          </w:tcPr>
          <w:p w14:paraId="7D4352FB" w14:textId="77777777" w:rsidR="00E821B9" w:rsidRPr="00281C58" w:rsidRDefault="00E821B9" w:rsidP="001D33A5">
            <w:pPr>
              <w:rPr>
                <w:rFonts w:eastAsiaTheme="minorEastAsia"/>
                <w:b/>
                <w:bCs/>
                <w:lang w:val="en-US"/>
              </w:rPr>
            </w:pPr>
          </w:p>
          <w:p w14:paraId="1068874C" w14:textId="3960169A" w:rsidR="008D1638" w:rsidRPr="00281C58" w:rsidRDefault="006A5CFF" w:rsidP="001D33A5">
            <w:pPr>
              <w:rPr>
                <w:rFonts w:ascii="Arial" w:hAnsi="Arial" w:cs="Arial"/>
                <w:sz w:val="20"/>
                <w:szCs w:val="20"/>
                <w:lang w:val="en-US"/>
              </w:rPr>
            </w:pPr>
            <m:oMathPara>
              <m:oMath>
                <m:sSub>
                  <m:sSubPr>
                    <m:ctrlPr>
                      <w:rPr>
                        <w:rFonts w:ascii="Cambria Math" w:hAnsi="Cambria Math" w:cs="Arial"/>
                        <w:b/>
                        <w:bCs/>
                        <w:i/>
                      </w:rPr>
                    </m:ctrlPr>
                  </m:sSubPr>
                  <m:e>
                    <m:r>
                      <m:rPr>
                        <m:sty m:val="b"/>
                      </m:rPr>
                      <w:rPr>
                        <w:rFonts w:ascii="Cambria Math" w:hAnsi="Cambria Math" w:cs="Arial"/>
                        <w:lang w:val="en-US"/>
                      </w:rPr>
                      <m:t>PIEMSESI</m:t>
                    </m:r>
                  </m:e>
                  <m:sub>
                    <m:r>
                      <m:rPr>
                        <m:nor/>
                      </m:rPr>
                      <w:rPr>
                        <w:rFonts w:ascii="Arial" w:hAnsi="Arial" w:cs="Arial"/>
                        <w:b/>
                        <w:bCs/>
                        <w:lang w:val="fr-FR"/>
                      </w:rPr>
                      <m:t>t</m:t>
                    </m:r>
                  </m:sub>
                </m:sSub>
                <m:r>
                  <m:rPr>
                    <m:sty m:val="b"/>
                  </m:rPr>
                  <w:rPr>
                    <w:rStyle w:val="Refdenotaalpie"/>
                    <w:rFonts w:ascii="Cambria Math" w:hAnsi="Cambria Math"/>
                    <w:b/>
                  </w:rPr>
                  <w:footnoteReference w:id="9"/>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10"/>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tc>
      </w:tr>
      <w:tr w:rsidR="00917BC3" w:rsidRPr="001D33A5" w14:paraId="6B5C1D44" w14:textId="29EA102C" w:rsidTr="00281C58">
        <w:trPr>
          <w:trHeight w:val="255"/>
        </w:trPr>
        <w:tc>
          <w:tcPr>
            <w:tcW w:w="1555" w:type="dxa"/>
            <w:tcBorders>
              <w:left w:val="single" w:sz="4" w:space="0" w:color="auto"/>
            </w:tcBorders>
            <w:vAlign w:val="center"/>
          </w:tcPr>
          <w:p w14:paraId="23B58508" w14:textId="77777777" w:rsidR="00917BC3" w:rsidRPr="00281C58" w:rsidRDefault="00917BC3" w:rsidP="001D33A5">
            <w:pPr>
              <w:rPr>
                <w:rFonts w:ascii="Arial" w:hAnsi="Arial" w:cs="Arial"/>
                <w:sz w:val="20"/>
                <w:szCs w:val="20"/>
                <w:lang w:val="en-US"/>
              </w:rPr>
            </w:pPr>
          </w:p>
          <w:p w14:paraId="07716DD5" w14:textId="10B46E99" w:rsidR="00917BC3" w:rsidRPr="001D33A5" w:rsidRDefault="00917BC3" w:rsidP="001D33A5">
            <w:pPr>
              <w:rPr>
                <w:rFonts w:ascii="Arial" w:hAnsi="Arial" w:cs="Arial"/>
                <w:sz w:val="20"/>
                <w:szCs w:val="20"/>
              </w:rPr>
            </w:pPr>
            <w:r w:rsidRPr="001D33A5">
              <w:rPr>
                <w:rFonts w:ascii="Arial" w:hAnsi="Arial" w:cs="Arial"/>
                <w:sz w:val="20"/>
                <w:szCs w:val="20"/>
              </w:rPr>
              <w:t>Donde:</w:t>
            </w:r>
          </w:p>
        </w:tc>
        <w:tc>
          <w:tcPr>
            <w:tcW w:w="1033" w:type="dxa"/>
            <w:vAlign w:val="center"/>
          </w:tcPr>
          <w:p w14:paraId="258F2A4B" w14:textId="7B8B66DF" w:rsidR="00917BC3" w:rsidRPr="001D33A5" w:rsidRDefault="00917BC3" w:rsidP="001D33A5">
            <w:pPr>
              <w:rPr>
                <w:rFonts w:ascii="Arial" w:hAnsi="Arial" w:cs="Arial"/>
                <w:sz w:val="20"/>
                <w:szCs w:val="20"/>
              </w:rPr>
            </w:pPr>
          </w:p>
        </w:tc>
        <w:tc>
          <w:tcPr>
            <w:tcW w:w="1294" w:type="dxa"/>
            <w:tcBorders>
              <w:bottom w:val="single" w:sz="4" w:space="0" w:color="auto"/>
            </w:tcBorders>
            <w:vAlign w:val="center"/>
          </w:tcPr>
          <w:p w14:paraId="005655A5" w14:textId="29F8B727" w:rsidR="00917BC3" w:rsidRPr="001D33A5" w:rsidRDefault="00917BC3" w:rsidP="001D33A5">
            <w:pPr>
              <w:rPr>
                <w:rFonts w:ascii="Arial" w:hAnsi="Arial" w:cs="Arial"/>
                <w:sz w:val="20"/>
                <w:szCs w:val="20"/>
              </w:rPr>
            </w:pPr>
          </w:p>
        </w:tc>
        <w:tc>
          <w:tcPr>
            <w:tcW w:w="3000" w:type="dxa"/>
            <w:tcBorders>
              <w:bottom w:val="single" w:sz="4" w:space="0" w:color="auto"/>
            </w:tcBorders>
            <w:vAlign w:val="center"/>
          </w:tcPr>
          <w:p w14:paraId="6E28B62D" w14:textId="28EA42F0" w:rsidR="00917BC3" w:rsidRPr="001D33A5" w:rsidRDefault="00917BC3" w:rsidP="001D33A5">
            <w:pPr>
              <w:rPr>
                <w:rFonts w:ascii="Arial" w:hAnsi="Arial" w:cs="Arial"/>
                <w:sz w:val="20"/>
                <w:szCs w:val="20"/>
              </w:rPr>
            </w:pPr>
          </w:p>
        </w:tc>
        <w:tc>
          <w:tcPr>
            <w:tcW w:w="1294" w:type="dxa"/>
            <w:tcBorders>
              <w:bottom w:val="single" w:sz="4" w:space="0" w:color="auto"/>
            </w:tcBorders>
            <w:vAlign w:val="center"/>
          </w:tcPr>
          <w:p w14:paraId="33ABBBFE" w14:textId="1A28FFC9" w:rsidR="00917BC3" w:rsidRPr="001D33A5" w:rsidRDefault="00917BC3" w:rsidP="001D33A5">
            <w:pPr>
              <w:rPr>
                <w:rFonts w:ascii="Arial" w:hAnsi="Arial" w:cs="Arial"/>
                <w:sz w:val="20"/>
                <w:szCs w:val="20"/>
              </w:rPr>
            </w:pPr>
          </w:p>
        </w:tc>
        <w:tc>
          <w:tcPr>
            <w:tcW w:w="1317" w:type="dxa"/>
            <w:gridSpan w:val="2"/>
            <w:tcBorders>
              <w:right w:val="single" w:sz="4" w:space="0" w:color="auto"/>
            </w:tcBorders>
            <w:vAlign w:val="center"/>
          </w:tcPr>
          <w:p w14:paraId="11774132" w14:textId="059C72D4" w:rsidR="00917BC3" w:rsidRPr="001D33A5" w:rsidRDefault="00917BC3" w:rsidP="001D33A5">
            <w:pPr>
              <w:rPr>
                <w:rFonts w:ascii="Arial" w:hAnsi="Arial" w:cs="Arial"/>
                <w:sz w:val="20"/>
                <w:szCs w:val="20"/>
              </w:rPr>
            </w:pPr>
          </w:p>
        </w:tc>
      </w:tr>
      <w:tr w:rsidR="00E55E34" w:rsidRPr="001D33A5" w14:paraId="47FDDA09" w14:textId="0C401BB7" w:rsidTr="00281C58">
        <w:trPr>
          <w:trHeight w:val="568"/>
        </w:trPr>
        <w:tc>
          <w:tcPr>
            <w:tcW w:w="1555" w:type="dxa"/>
            <w:tcBorders>
              <w:left w:val="single" w:sz="4" w:space="0" w:color="auto"/>
            </w:tcBorders>
            <w:vAlign w:val="center"/>
          </w:tcPr>
          <w:p w14:paraId="4BF3D8E8" w14:textId="5898ED1E" w:rsidR="00917BC3" w:rsidRPr="001D33A5" w:rsidRDefault="00917BC3" w:rsidP="00281C58">
            <w:pPr>
              <w:ind w:right="-87"/>
              <w:rPr>
                <w:rFonts w:ascii="Arial" w:hAnsi="Arial" w:cs="Arial"/>
                <w:sz w:val="20"/>
                <w:szCs w:val="20"/>
              </w:rPr>
            </w:pPr>
            <w:r w:rsidRPr="001D33A5">
              <w:rPr>
                <w:rFonts w:ascii="Arial" w:hAnsi="Arial" w:cs="Arial"/>
                <w:sz w:val="20"/>
                <w:szCs w:val="20"/>
              </w:rPr>
              <w:t>Demandado</w:t>
            </w:r>
          </w:p>
        </w:tc>
        <w:tc>
          <w:tcPr>
            <w:tcW w:w="1033" w:type="dxa"/>
            <w:tcBorders>
              <w:right w:val="single" w:sz="4" w:space="0" w:color="auto"/>
            </w:tcBorders>
            <w:vAlign w:val="center"/>
          </w:tcPr>
          <w:p w14:paraId="64D52C72" w14:textId="78168610" w:rsidR="00917BC3" w:rsidRPr="001D33A5" w:rsidRDefault="00917BC3" w:rsidP="001D33A5">
            <w:pPr>
              <w:jc w:val="center"/>
              <w:rPr>
                <w:rFonts w:ascii="Arial" w:hAnsi="Arial" w:cs="Arial"/>
                <w:sz w:val="20"/>
                <w:szCs w:val="20"/>
              </w:rPr>
            </w:pPr>
            <w:r w:rsidRPr="001D33A5">
              <w:rPr>
                <w:rFonts w:ascii="Arial" w:hAnsi="Arial" w:cs="Arial"/>
                <w:sz w:val="20"/>
                <w:szCs w:val="20"/>
              </w:rPr>
              <w:t>=</w:t>
            </w:r>
          </w:p>
        </w:tc>
        <w:tc>
          <w:tcPr>
            <w:tcW w:w="6054" w:type="dxa"/>
            <w:gridSpan w:val="4"/>
            <w:tcBorders>
              <w:top w:val="single" w:sz="4" w:space="0" w:color="auto"/>
              <w:left w:val="single" w:sz="4" w:space="0" w:color="auto"/>
              <w:bottom w:val="single" w:sz="4" w:space="0" w:color="auto"/>
              <w:right w:val="single" w:sz="4" w:space="0" w:color="auto"/>
            </w:tcBorders>
            <w:vAlign w:val="center"/>
          </w:tcPr>
          <w:p w14:paraId="63C7C1CB" w14:textId="56079072" w:rsidR="00917BC3" w:rsidRPr="001D33A5" w:rsidRDefault="006A5CFF" w:rsidP="001D33A5">
            <w:pPr>
              <w:jc w:val="both"/>
              <w:rPr>
                <w:rFonts w:ascii="Arial" w:hAnsi="Arial" w:cs="Arial"/>
                <w:sz w:val="20"/>
                <w:szCs w:val="20"/>
              </w:rPr>
            </w:pPr>
            <m:oMath>
              <m:sSubSup>
                <m:sSubSupPr>
                  <m:ctrlPr>
                    <w:rPr>
                      <w:rFonts w:ascii="Cambria Math" w:hAnsi="Cambria Math" w:cs="Arial"/>
                      <w:b/>
                      <w:bCs/>
                      <w:sz w:val="20"/>
                      <w:szCs w:val="20"/>
                      <w:lang w:val="en-US"/>
                    </w:rPr>
                  </m:ctrlPr>
                </m:sSubSupPr>
                <m:e>
                  <m:r>
                    <m:rPr>
                      <m:sty m:val="bi"/>
                    </m:rPr>
                    <w:rPr>
                      <w:rFonts w:ascii="Cambria Math" w:hAnsi="Cambria Math" w:cs="Arial"/>
                      <w:sz w:val="20"/>
                      <w:szCs w:val="20"/>
                      <w:lang w:val="en-US"/>
                    </w:rPr>
                    <m:t>CTIEMSES</m:t>
                  </m:r>
                </m:e>
                <m:sub>
                  <m:r>
                    <m:rPr>
                      <m:sty m:val="bi"/>
                    </m:rPr>
                    <w:rPr>
                      <w:rFonts w:ascii="Cambria Math" w:hAnsi="Cambria Math" w:cs="Arial"/>
                      <w:sz w:val="20"/>
                      <w:szCs w:val="20"/>
                      <w:lang w:val="en-US"/>
                    </w:rPr>
                    <m:t>t</m:t>
                  </m:r>
                </m:sub>
                <m:sup>
                  <m:r>
                    <m:rPr>
                      <m:sty m:val="b"/>
                    </m:rPr>
                    <w:rPr>
                      <w:rFonts w:ascii="Cambria Math" w:hAnsi="Cambria Math" w:cs="Arial"/>
                      <w:sz w:val="20"/>
                      <w:szCs w:val="20"/>
                    </w:rPr>
                    <m:t xml:space="preserve"> </m:t>
                  </m:r>
                </m:sup>
              </m:sSubSup>
            </m:oMath>
            <w:r w:rsidR="00917BC3" w:rsidRPr="001D33A5">
              <w:rPr>
                <w:rFonts w:ascii="Arial" w:eastAsiaTheme="minorEastAsia" w:hAnsi="Arial" w:cs="Arial"/>
                <w:b/>
                <w:bCs/>
                <w:sz w:val="20"/>
                <w:szCs w:val="20"/>
              </w:rPr>
              <w:t>:</w:t>
            </w:r>
            <w:r w:rsidR="00917BC3" w:rsidRPr="001D33A5">
              <w:rPr>
                <w:rFonts w:ascii="Arial" w:eastAsiaTheme="minorEastAsia" w:hAnsi="Arial" w:cs="Arial"/>
                <w:sz w:val="20"/>
                <w:szCs w:val="20"/>
              </w:rPr>
              <w:t xml:space="preserve"> </w:t>
            </w:r>
            <w:r w:rsidR="00917BC3" w:rsidRPr="001D33A5">
              <w:rPr>
                <w:rFonts w:ascii="Arial" w:hAnsi="Arial" w:cs="Arial"/>
                <w:sz w:val="20"/>
                <w:szCs w:val="20"/>
              </w:rPr>
              <w:t xml:space="preserve">Cantidad total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w:t>
            </w:r>
            <w:r w:rsidR="00917BC3">
              <w:rPr>
                <w:rFonts w:ascii="Arial" w:hAnsi="Arial" w:cs="Arial"/>
                <w:sz w:val="20"/>
                <w:szCs w:val="20"/>
              </w:rPr>
              <w:t>,</w:t>
            </w:r>
            <w:r w:rsidR="00917BC3" w:rsidRPr="001D33A5">
              <w:rPr>
                <w:rFonts w:ascii="Arial" w:hAnsi="Arial" w:cs="Arial"/>
                <w:sz w:val="20"/>
                <w:szCs w:val="20"/>
              </w:rPr>
              <w:t xml:space="preserve"> en el tiempo t.</w:t>
            </w:r>
          </w:p>
        </w:tc>
        <w:tc>
          <w:tcPr>
            <w:tcW w:w="851" w:type="dxa"/>
            <w:tcBorders>
              <w:left w:val="single" w:sz="4" w:space="0" w:color="auto"/>
              <w:right w:val="single" w:sz="4" w:space="0" w:color="auto"/>
            </w:tcBorders>
            <w:vAlign w:val="center"/>
          </w:tcPr>
          <w:p w14:paraId="1273E212" w14:textId="77777777" w:rsidR="00917BC3" w:rsidRPr="001D33A5" w:rsidRDefault="00917BC3" w:rsidP="001D33A5">
            <w:pPr>
              <w:rPr>
                <w:rFonts w:ascii="Arial" w:hAnsi="Arial" w:cs="Arial"/>
                <w:sz w:val="20"/>
                <w:szCs w:val="20"/>
              </w:rPr>
            </w:pPr>
          </w:p>
        </w:tc>
      </w:tr>
      <w:tr w:rsidR="0070177C" w:rsidRPr="001D33A5" w14:paraId="14D43A61" w14:textId="77777777" w:rsidTr="00281C58">
        <w:trPr>
          <w:trHeight w:val="276"/>
        </w:trPr>
        <w:tc>
          <w:tcPr>
            <w:tcW w:w="9493" w:type="dxa"/>
            <w:gridSpan w:val="7"/>
            <w:tcBorders>
              <w:left w:val="single" w:sz="4" w:space="0" w:color="auto"/>
              <w:right w:val="single" w:sz="4" w:space="0" w:color="auto"/>
            </w:tcBorders>
            <w:vAlign w:val="center"/>
          </w:tcPr>
          <w:p w14:paraId="23F8A4BA" w14:textId="77777777" w:rsidR="0070177C" w:rsidRPr="001D33A5" w:rsidRDefault="0070177C" w:rsidP="001D33A5">
            <w:pPr>
              <w:rPr>
                <w:rFonts w:ascii="Arial" w:hAnsi="Arial" w:cs="Arial"/>
                <w:sz w:val="20"/>
                <w:szCs w:val="20"/>
              </w:rPr>
            </w:pPr>
          </w:p>
        </w:tc>
      </w:tr>
      <w:tr w:rsidR="00AF28C6" w:rsidRPr="001D33A5" w14:paraId="0444C1B3" w14:textId="146F9E5D" w:rsidTr="00281C58">
        <w:trPr>
          <w:trHeight w:val="593"/>
        </w:trPr>
        <w:tc>
          <w:tcPr>
            <w:tcW w:w="1555" w:type="dxa"/>
            <w:tcBorders>
              <w:left w:val="single" w:sz="4" w:space="0" w:color="auto"/>
              <w:bottom w:val="single" w:sz="4" w:space="0" w:color="auto"/>
            </w:tcBorders>
            <w:vAlign w:val="center"/>
          </w:tcPr>
          <w:p w14:paraId="18557181" w14:textId="4521CF05" w:rsidR="00917BC3" w:rsidRPr="001D33A5" w:rsidRDefault="00917BC3" w:rsidP="00281C58">
            <w:pPr>
              <w:ind w:right="-229"/>
              <w:jc w:val="both"/>
              <w:rPr>
                <w:rFonts w:ascii="Arial" w:hAnsi="Arial" w:cs="Arial"/>
                <w:sz w:val="20"/>
                <w:szCs w:val="20"/>
              </w:rPr>
            </w:pPr>
            <w:r w:rsidRPr="001D33A5">
              <w:rPr>
                <w:rFonts w:ascii="Arial" w:hAnsi="Arial" w:cs="Arial"/>
                <w:sz w:val="20"/>
                <w:szCs w:val="20"/>
              </w:rPr>
              <w:t>Implementado</w:t>
            </w:r>
          </w:p>
        </w:tc>
        <w:tc>
          <w:tcPr>
            <w:tcW w:w="1033" w:type="dxa"/>
            <w:tcBorders>
              <w:bottom w:val="single" w:sz="4" w:space="0" w:color="auto"/>
              <w:right w:val="single" w:sz="4" w:space="0" w:color="auto"/>
            </w:tcBorders>
            <w:vAlign w:val="center"/>
          </w:tcPr>
          <w:p w14:paraId="20F01258" w14:textId="1321F9DE" w:rsidR="00917BC3" w:rsidRPr="001D33A5" w:rsidRDefault="00917BC3" w:rsidP="001D33A5">
            <w:pPr>
              <w:jc w:val="center"/>
              <w:rPr>
                <w:rFonts w:ascii="Arial" w:hAnsi="Arial" w:cs="Arial"/>
                <w:sz w:val="20"/>
                <w:szCs w:val="20"/>
              </w:rPr>
            </w:pPr>
            <w:r w:rsidRPr="001D33A5">
              <w:rPr>
                <w:rFonts w:ascii="Arial" w:hAnsi="Arial" w:cs="Arial"/>
                <w:sz w:val="20"/>
                <w:szCs w:val="20"/>
              </w:rPr>
              <w:t>=</w:t>
            </w:r>
          </w:p>
        </w:tc>
        <w:tc>
          <w:tcPr>
            <w:tcW w:w="6054" w:type="dxa"/>
            <w:gridSpan w:val="4"/>
            <w:tcBorders>
              <w:top w:val="single" w:sz="4" w:space="0" w:color="auto"/>
              <w:left w:val="single" w:sz="4" w:space="0" w:color="auto"/>
              <w:bottom w:val="single" w:sz="4" w:space="0" w:color="auto"/>
              <w:right w:val="single" w:sz="4" w:space="0" w:color="auto"/>
            </w:tcBorders>
            <w:vAlign w:val="center"/>
          </w:tcPr>
          <w:p w14:paraId="3752E493" w14:textId="6C219B58" w:rsidR="00917BC3" w:rsidRPr="001D33A5" w:rsidRDefault="006A5CFF" w:rsidP="001D33A5">
            <w:pPr>
              <w:jc w:val="both"/>
              <w:rPr>
                <w:rFonts w:ascii="Arial" w:hAnsi="Arial" w:cs="Arial"/>
                <w:b/>
                <w:bCs/>
                <w:sz w:val="20"/>
                <w:szCs w:val="20"/>
              </w:rPr>
            </w:pPr>
            <m:oMath>
              <m:sSubSup>
                <m:sSubSupPr>
                  <m:ctrlPr>
                    <w:rPr>
                      <w:rFonts w:ascii="Cambria Math" w:hAnsi="Cambria Math" w:cs="Arial"/>
                      <w:b/>
                      <w:bCs/>
                      <w:sz w:val="20"/>
                      <w:szCs w:val="20"/>
                      <w:lang w:val="en-US"/>
                    </w:rPr>
                  </m:ctrlPr>
                </m:sSubSupPr>
                <m:e>
                  <m:r>
                    <m:rPr>
                      <m:sty m:val="bi"/>
                    </m:rPr>
                    <w:rPr>
                      <w:rFonts w:ascii="Cambria Math" w:hAnsi="Cambria Math" w:cs="Arial"/>
                      <w:sz w:val="20"/>
                      <w:szCs w:val="20"/>
                      <w:lang w:val="en-US"/>
                    </w:rPr>
                    <m:t>CTIEMSESA</m:t>
                  </m:r>
                </m:e>
                <m:sub>
                  <m:r>
                    <m:rPr>
                      <m:sty m:val="bi"/>
                    </m:rPr>
                    <w:rPr>
                      <w:rFonts w:ascii="Cambria Math" w:hAnsi="Cambria Math" w:cs="Arial"/>
                      <w:sz w:val="20"/>
                      <w:szCs w:val="20"/>
                      <w:lang w:val="en-US"/>
                    </w:rPr>
                    <m:t>t</m:t>
                  </m:r>
                </m:sub>
                <m:sup>
                  <m:r>
                    <m:rPr>
                      <m:sty m:val="b"/>
                    </m:rPr>
                    <w:rPr>
                      <w:rFonts w:ascii="Cambria Math" w:hAnsi="Cambria Math" w:cs="Arial"/>
                      <w:sz w:val="20"/>
                      <w:szCs w:val="20"/>
                    </w:rPr>
                    <m:t xml:space="preserve"> </m:t>
                  </m:r>
                </m:sup>
              </m:sSubSup>
            </m:oMath>
            <w:r w:rsidR="00917BC3" w:rsidRPr="001D33A5">
              <w:rPr>
                <w:rFonts w:ascii="Arial" w:eastAsiaTheme="minorEastAsia" w:hAnsi="Arial" w:cs="Arial"/>
                <w:b/>
                <w:bCs/>
                <w:sz w:val="20"/>
                <w:szCs w:val="20"/>
              </w:rPr>
              <w:t xml:space="preserve">: </w:t>
            </w:r>
            <w:r w:rsidR="00917BC3" w:rsidRPr="001D33A5">
              <w:rPr>
                <w:rFonts w:ascii="Arial" w:hAnsi="Arial" w:cs="Arial"/>
                <w:sz w:val="20"/>
                <w:szCs w:val="20"/>
              </w:rPr>
              <w:t xml:space="preserve">Cantidad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917BC3">
              <w:rPr>
                <w:rFonts w:ascii="Arial" w:hAnsi="Arial" w:cs="Arial"/>
                <w:bCs/>
                <w:sz w:val="20"/>
                <w:szCs w:val="20"/>
                <w:lang w:val="es-MX"/>
              </w:rPr>
              <w:t>en estado situacional adecuado</w:t>
            </w:r>
            <w:r w:rsidR="00917BC3" w:rsidRPr="001D33A5">
              <w:rPr>
                <w:rFonts w:ascii="Arial" w:hAnsi="Arial" w:cs="Arial"/>
                <w:sz w:val="20"/>
                <w:szCs w:val="20"/>
              </w:rPr>
              <w:t xml:space="preserve">, en el tiempo t. </w:t>
            </w:r>
          </w:p>
        </w:tc>
        <w:tc>
          <w:tcPr>
            <w:tcW w:w="851" w:type="dxa"/>
            <w:tcBorders>
              <w:left w:val="single" w:sz="4" w:space="0" w:color="auto"/>
              <w:bottom w:val="single" w:sz="4" w:space="0" w:color="auto"/>
              <w:right w:val="single" w:sz="4" w:space="0" w:color="auto"/>
            </w:tcBorders>
            <w:vAlign w:val="center"/>
          </w:tcPr>
          <w:p w14:paraId="21ACDE04" w14:textId="77777777" w:rsidR="00917BC3" w:rsidRPr="001D33A5" w:rsidRDefault="00917BC3" w:rsidP="001D33A5">
            <w:pPr>
              <w:rPr>
                <w:rFonts w:ascii="Arial" w:hAnsi="Arial" w:cs="Arial"/>
                <w:sz w:val="20"/>
                <w:szCs w:val="20"/>
              </w:rPr>
            </w:pPr>
          </w:p>
          <w:p w14:paraId="7FCDFD31" w14:textId="77777777" w:rsidR="00917BC3" w:rsidRPr="001D33A5" w:rsidRDefault="00917BC3" w:rsidP="001D33A5">
            <w:pPr>
              <w:rPr>
                <w:rFonts w:ascii="Arial" w:hAnsi="Arial" w:cs="Arial"/>
                <w:sz w:val="20"/>
                <w:szCs w:val="20"/>
              </w:rPr>
            </w:pPr>
          </w:p>
          <w:p w14:paraId="191B0FC8" w14:textId="77777777" w:rsidR="00917BC3" w:rsidRPr="001D33A5" w:rsidRDefault="00917BC3" w:rsidP="001D33A5">
            <w:pPr>
              <w:rPr>
                <w:rFonts w:ascii="Arial" w:hAnsi="Arial" w:cs="Arial"/>
                <w:sz w:val="20"/>
                <w:szCs w:val="20"/>
              </w:rPr>
            </w:pPr>
          </w:p>
        </w:tc>
      </w:tr>
      <w:tr w:rsidR="00917BC3" w:rsidRPr="001D33A5" w14:paraId="3EB2CE05"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2CB184F9" w14:textId="77777777" w:rsidR="00917BC3" w:rsidRDefault="00917BC3" w:rsidP="001D33A5">
            <w:pPr>
              <w:jc w:val="both"/>
              <w:rPr>
                <w:rFonts w:ascii="Arial" w:hAnsi="Arial" w:cs="Arial"/>
                <w:sz w:val="20"/>
                <w:szCs w:val="20"/>
              </w:rPr>
            </w:pPr>
          </w:p>
          <w:p w14:paraId="23066973" w14:textId="4186B505" w:rsidR="00917BC3" w:rsidRPr="00A22666" w:rsidRDefault="00917BC3" w:rsidP="002427EA">
            <w:pPr>
              <w:jc w:val="both"/>
              <w:rPr>
                <w:rFonts w:ascii="Arial" w:hAnsi="Arial" w:cs="Arial"/>
                <w:sz w:val="20"/>
                <w:szCs w:val="20"/>
              </w:rPr>
            </w:pPr>
            <w:r w:rsidRPr="001D33A5">
              <w:rPr>
                <w:rFonts w:ascii="Arial" w:hAnsi="Arial" w:cs="Arial"/>
                <w:sz w:val="20"/>
                <w:szCs w:val="20"/>
              </w:rPr>
              <w:t xml:space="preserve">Fórmula para el cálculo </w:t>
            </w:r>
            <w:r w:rsidR="002427EA">
              <w:rPr>
                <w:rFonts w:ascii="Arial" w:hAnsi="Arial" w:cs="Arial"/>
                <w:sz w:val="20"/>
                <w:szCs w:val="20"/>
              </w:rPr>
              <w:t>del porcentaje</w:t>
            </w:r>
            <w:r w:rsidRPr="001D33A5">
              <w:rPr>
                <w:rFonts w:ascii="Arial" w:hAnsi="Arial" w:cs="Arial"/>
                <w:sz w:val="20"/>
                <w:szCs w:val="20"/>
              </w:rPr>
              <w:t xml:space="preserve"> de </w:t>
            </w:r>
            <w:r>
              <w:rPr>
                <w:rFonts w:ascii="Arial" w:hAnsi="Arial" w:cs="Arial"/>
                <w:sz w:val="20"/>
                <w:szCs w:val="20"/>
              </w:rPr>
              <w:t>instalaciones educativas</w:t>
            </w:r>
            <w:r w:rsidRPr="001D33A5">
              <w:rPr>
                <w:rFonts w:ascii="Arial" w:hAnsi="Arial" w:cs="Arial"/>
                <w:sz w:val="20"/>
                <w:szCs w:val="20"/>
              </w:rPr>
              <w:t xml:space="preserve"> que implementan el Modelo de </w:t>
            </w:r>
            <w:r w:rsidR="001E0D99" w:rsidRPr="001E0D99">
              <w:rPr>
                <w:rFonts w:ascii="Arial" w:hAnsi="Arial" w:cs="Arial"/>
                <w:sz w:val="20"/>
                <w:szCs w:val="20"/>
              </w:rPr>
              <w:t>Servicio Educativo para Atención de Estudiantes con Habilidades Sobresalientes y Alto Desempeño Académico, Artístico y/o Deportivo</w:t>
            </w:r>
            <w:r w:rsidRPr="001D33A5">
              <w:rPr>
                <w:rFonts w:ascii="Arial" w:hAnsi="Arial" w:cs="Arial"/>
                <w:sz w:val="20"/>
                <w:szCs w:val="20"/>
              </w:rPr>
              <w:t xml:space="preserve"> </w:t>
            </w:r>
            <w:r>
              <w:rPr>
                <w:rFonts w:ascii="Arial" w:hAnsi="Arial" w:cs="Arial"/>
                <w:sz w:val="20"/>
                <w:szCs w:val="20"/>
              </w:rPr>
              <w:t>en</w:t>
            </w:r>
            <w:r w:rsidRPr="001D33A5">
              <w:rPr>
                <w:rFonts w:ascii="Arial" w:hAnsi="Arial" w:cs="Arial"/>
                <w:sz w:val="20"/>
                <w:szCs w:val="20"/>
              </w:rPr>
              <w:t xml:space="preserve"> </w:t>
            </w:r>
            <w:r w:rsidR="0035763B" w:rsidRPr="003B7202">
              <w:rPr>
                <w:rFonts w:ascii="Arial" w:hAnsi="Arial" w:cs="Arial"/>
                <w:sz w:val="20"/>
                <w:szCs w:val="20"/>
              </w:rPr>
              <w:t>condiciones inadecuadas</w:t>
            </w:r>
            <w:r w:rsidR="0035763B" w:rsidDel="0035763B">
              <w:rPr>
                <w:rFonts w:ascii="Arial" w:hAnsi="Arial" w:cs="Arial"/>
                <w:sz w:val="20"/>
                <w:szCs w:val="20"/>
              </w:rPr>
              <w:t xml:space="preserve"> </w:t>
            </w:r>
            <m:oMath>
              <m:sSub>
                <m:sSubPr>
                  <m:ctrlPr>
                    <w:rPr>
                      <w:rFonts w:ascii="Cambria Math" w:hAnsi="Cambria Math" w:cs="Arial"/>
                      <w:b/>
                      <w:bCs/>
                      <w:sz w:val="20"/>
                      <w:szCs w:val="20"/>
                    </w:rPr>
                  </m:ctrlPr>
                </m:sSubPr>
                <m:e>
                  <m:r>
                    <m:rPr>
                      <m:sty m:val="b"/>
                    </m:rPr>
                    <w:rPr>
                      <w:rFonts w:ascii="Cambria Math" w:hAnsi="Cambria Math" w:cs="Arial"/>
                      <w:sz w:val="20"/>
                      <w:szCs w:val="20"/>
                    </w:rPr>
                    <m:t>(PIEMSESI</m:t>
                  </m:r>
                </m:e>
                <m:sub>
                  <m:r>
                    <m:rPr>
                      <m:nor/>
                    </m:rPr>
                    <w:rPr>
                      <w:rFonts w:ascii="Arial" w:hAnsi="Arial" w:cs="Arial"/>
                      <w:b/>
                      <w:bCs/>
                      <w:sz w:val="20"/>
                      <w:szCs w:val="20"/>
                    </w:rPr>
                    <m:t>t</m:t>
                  </m:r>
                </m:sub>
              </m:sSub>
            </m:oMath>
            <w:r w:rsidR="00A22666" w:rsidRPr="00281C58">
              <w:rPr>
                <w:rFonts w:ascii="Arial" w:eastAsiaTheme="minorEastAsia" w:hAnsi="Arial" w:cs="Arial"/>
                <w:sz w:val="20"/>
                <w:szCs w:val="20"/>
              </w:rPr>
              <w:t>)</w:t>
            </w:r>
          </w:p>
          <w:p w14:paraId="480823D7" w14:textId="77777777" w:rsidR="00917BC3" w:rsidRPr="00A22666" w:rsidRDefault="00917BC3" w:rsidP="001D33A5">
            <w:pPr>
              <w:jc w:val="both"/>
              <w:rPr>
                <w:rFonts w:ascii="Arial" w:hAnsi="Arial" w:cs="Arial"/>
                <w:sz w:val="20"/>
                <w:szCs w:val="20"/>
              </w:rPr>
            </w:pPr>
          </w:p>
          <w:p w14:paraId="7B53B862" w14:textId="6FB4B3DC" w:rsidR="00917BC3" w:rsidRPr="001D33A5" w:rsidRDefault="006A5CFF" w:rsidP="001D33A5">
            <w:pPr>
              <w:contextualSpacing/>
              <w:jc w:val="center"/>
              <w:rPr>
                <w:rFonts w:ascii="Arial" w:hAnsi="Arial" w:cs="Arial"/>
                <w:sz w:val="20"/>
                <w:szCs w:val="20"/>
              </w:rPr>
            </w:pPr>
            <m:oMath>
              <m:sSub>
                <m:sSubPr>
                  <m:ctrlPr>
                    <w:rPr>
                      <w:rFonts w:ascii="Cambria Math" w:hAnsi="Cambria Math" w:cs="Arial"/>
                      <w:b/>
                      <w:bCs/>
                      <w:sz w:val="20"/>
                      <w:szCs w:val="20"/>
                    </w:rPr>
                  </m:ctrlPr>
                </m:sSubPr>
                <m:e>
                  <m:r>
                    <m:rPr>
                      <m:sty m:val="b"/>
                    </m:rPr>
                    <w:rPr>
                      <w:rFonts w:ascii="Cambria Math" w:hAnsi="Cambria Math" w:cs="Arial"/>
                      <w:sz w:val="20"/>
                      <w:szCs w:val="20"/>
                      <w:lang w:val="en-US"/>
                    </w:rPr>
                    <m:t>PIEMSESI</m:t>
                  </m:r>
                </m:e>
                <m:sub>
                  <m:r>
                    <m:rPr>
                      <m:nor/>
                    </m:rPr>
                    <w:rPr>
                      <w:rFonts w:ascii="Arial" w:hAnsi="Arial" w:cs="Arial"/>
                      <w:b/>
                      <w:bCs/>
                      <w:sz w:val="20"/>
                      <w:szCs w:val="20"/>
                      <w:lang w:val="en-US"/>
                    </w:rPr>
                    <m:t>t</m:t>
                  </m:r>
                </m:sub>
              </m:sSub>
              <m:r>
                <m:rPr>
                  <m:sty m:val="p"/>
                </m:rPr>
                <w:rPr>
                  <w:rFonts w:ascii="Cambria Math" w:hAnsi="Cambria Math" w:cs="Arial"/>
                  <w:sz w:val="20"/>
                  <w:szCs w:val="20"/>
                  <w:lang w:val="en-US"/>
                </w:rPr>
                <m:t>=</m:t>
              </m:r>
              <m:d>
                <m:dPr>
                  <m:ctrlPr>
                    <w:rPr>
                      <w:rFonts w:ascii="Cambria Math" w:hAnsi="Cambria Math" w:cs="Arial"/>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CIEMSESI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DIPLANN</m:t>
                              </m:r>
                            </m:sup>
                          </m:sSubSup>
                          <m:r>
                            <m:rPr>
                              <m:sty m:val="p"/>
                            </m:rPr>
                            <w:rPr>
                              <w:rFonts w:ascii="Cambria Math" w:hAnsi="Cambria Math" w:cs="Arial"/>
                              <w:sz w:val="20"/>
                              <w:szCs w:val="20"/>
                              <w:lang w:val="en-US"/>
                            </w:rPr>
                            <m:t>+ CIESI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sSubSup>
                        <m:sSubSupPr>
                          <m:ctrlPr>
                            <w:rPr>
                              <w:rFonts w:ascii="Cambria Math" w:hAnsi="Cambria Math" w:cs="Arial"/>
                              <w:i/>
                              <w:sz w:val="20"/>
                              <w:szCs w:val="20"/>
                            </w:rPr>
                          </m:ctrlPr>
                        </m:sSubSupPr>
                        <m:e>
                          <m:r>
                            <w:rPr>
                              <w:rFonts w:ascii="Cambria Math" w:hAnsi="Cambria Math" w:cs="Arial"/>
                              <w:sz w:val="20"/>
                              <w:szCs w:val="20"/>
                              <w:lang w:val="en-US"/>
                            </w:rPr>
                            <m:t xml:space="preserve"> + </m:t>
                          </m:r>
                          <m:r>
                            <w:rPr>
                              <w:rFonts w:ascii="Cambria Math" w:hAnsi="Cambria Math" w:cs="Arial"/>
                              <w:sz w:val="20"/>
                              <w:szCs w:val="20"/>
                            </w:rPr>
                            <m:t>CIESI</m:t>
                          </m:r>
                        </m:e>
                        <m:sub>
                          <m:r>
                            <w:rPr>
                              <w:rFonts w:ascii="Cambria Math" w:hAnsi="Cambria Math" w:cs="Arial"/>
                              <w:sz w:val="20"/>
                              <w:szCs w:val="20"/>
                            </w:rPr>
                            <m:t>t</m:t>
                          </m:r>
                        </m:sub>
                        <m:sup>
                          <m:r>
                            <w:rPr>
                              <w:rFonts w:ascii="Cambria Math" w:hAnsi="Cambria Math" w:cs="Arial"/>
                              <w:sz w:val="20"/>
                              <w:szCs w:val="20"/>
                            </w:rPr>
                            <m:t>I</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NS</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DIPLANN</m:t>
                          </m:r>
                        </m:sup>
                      </m:sSubSup>
                      <m:r>
                        <m:rPr>
                          <m:sty m:val="p"/>
                        </m:rPr>
                        <w:rPr>
                          <w:rFonts w:ascii="Cambria Math" w:hAnsi="Cambria Math" w:cs="Arial"/>
                          <w:sz w:val="20"/>
                          <w:szCs w:val="20"/>
                          <w:lang w:val="en-US"/>
                        </w:rPr>
                        <m:t>+</m:t>
                      </m:r>
                      <m:sSubSup>
                        <m:sSubSupPr>
                          <m:ctrlPr>
                            <w:rPr>
                              <w:rFonts w:ascii="Cambria Math" w:hAnsi="Cambria Math" w:cs="Arial"/>
                              <w:sz w:val="20"/>
                              <w:szCs w:val="20"/>
                            </w:rPr>
                          </m:ctrlPr>
                        </m:sSubSupPr>
                        <m:e>
                          <m:r>
                            <m:rPr>
                              <m:sty m:val="p"/>
                            </m:rPr>
                            <w:rPr>
                              <w:rFonts w:ascii="Cambria Math" w:hAnsi="Cambria Math" w:cs="Arial"/>
                              <w:sz w:val="20"/>
                              <w:szCs w:val="20"/>
                              <w:lang w:val="en-US"/>
                            </w:rPr>
                            <m:t>NS</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cs="Arial"/>
                          <w:sz w:val="20"/>
                          <w:szCs w:val="20"/>
                          <w:lang w:val="en-AU"/>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den>
                  </m:f>
                </m:e>
              </m:d>
              <m:r>
                <m:rPr>
                  <m:sty m:val="p"/>
                </m:rPr>
                <w:rPr>
                  <w:rFonts w:ascii="Cambria Math" w:hAnsi="Cambria Math" w:cs="Arial"/>
                  <w:sz w:val="20"/>
                  <w:szCs w:val="20"/>
                  <w:lang w:val="en-US"/>
                </w:rPr>
                <m:t>100%=</m:t>
              </m:r>
              <m:d>
                <m:dPr>
                  <m:ctrlPr>
                    <w:rPr>
                      <w:rFonts w:ascii="Cambria Math" w:hAnsi="Cambria Math" w:cs="Arial"/>
                      <w:sz w:val="20"/>
                      <w:szCs w:val="20"/>
                      <w:lang w:val="en-US"/>
                    </w:rPr>
                  </m:ctrlPr>
                </m:dPr>
                <m:e>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CTIEMSESI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CTIEMSES</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 xml:space="preserve">100%= </m:t>
              </m:r>
              <m:d>
                <m:dPr>
                  <m:ctrlPr>
                    <w:rPr>
                      <w:rFonts w:ascii="Cambria Math" w:hAnsi="Cambria Math" w:cs="Arial"/>
                      <w:sz w:val="20"/>
                      <w:szCs w:val="20"/>
                      <w:lang w:val="en-US"/>
                    </w:rPr>
                  </m:ctrlPr>
                </m:dPr>
                <m:e>
                  <m:r>
                    <w:rPr>
                      <w:rFonts w:ascii="Cambria Math" w:hAnsi="Cambria Math" w:cs="Arial"/>
                      <w:sz w:val="20"/>
                      <w:szCs w:val="20"/>
                      <w:lang w:val="en-US"/>
                    </w:rPr>
                    <m:t>1-</m:t>
                  </m:r>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CTIEMSESA</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CTIEMSES</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100%</m:t>
              </m:r>
            </m:oMath>
            <w:r w:rsidR="00917BC3" w:rsidRPr="001D33A5">
              <w:rPr>
                <w:rFonts w:ascii="Arial" w:hAnsi="Arial" w:cs="Arial"/>
                <w:sz w:val="20"/>
                <w:szCs w:val="20"/>
                <w:lang w:val="en-US"/>
              </w:rPr>
              <w:t xml:space="preserve">…. </w:t>
            </w:r>
            <w:r w:rsidR="00917BC3" w:rsidRPr="001D33A5">
              <w:rPr>
                <w:rFonts w:ascii="Arial" w:hAnsi="Arial" w:cs="Arial"/>
                <w:sz w:val="20"/>
                <w:szCs w:val="20"/>
              </w:rPr>
              <w:t>(1)</w:t>
            </w:r>
          </w:p>
          <w:p w14:paraId="55D57A2A" w14:textId="77777777" w:rsidR="00917BC3" w:rsidRPr="001D33A5" w:rsidRDefault="00917BC3" w:rsidP="001D33A5">
            <w:pPr>
              <w:contextualSpacing/>
              <w:jc w:val="center"/>
              <w:rPr>
                <w:rFonts w:ascii="Arial" w:hAnsi="Arial" w:cs="Arial"/>
                <w:sz w:val="20"/>
                <w:szCs w:val="20"/>
              </w:rPr>
            </w:pPr>
          </w:p>
          <w:p w14:paraId="1A88170A" w14:textId="77777777" w:rsidR="00917BC3" w:rsidRPr="001D33A5" w:rsidRDefault="00917BC3" w:rsidP="001D33A5">
            <w:pPr>
              <w:contextualSpacing/>
              <w:jc w:val="center"/>
              <w:rPr>
                <w:rFonts w:ascii="Arial" w:hAnsi="Arial" w:cs="Arial"/>
                <w:sz w:val="20"/>
                <w:szCs w:val="20"/>
              </w:rPr>
            </w:pPr>
          </w:p>
          <w:p w14:paraId="580A8E7C" w14:textId="0264F78F" w:rsidR="00917BC3" w:rsidRPr="001D33A5" w:rsidRDefault="00917BC3" w:rsidP="001D33A5">
            <w:pPr>
              <w:jc w:val="both"/>
              <w:rPr>
                <w:rFonts w:ascii="Arial" w:hAnsi="Arial" w:cs="Arial"/>
                <w:sz w:val="20"/>
                <w:szCs w:val="20"/>
              </w:rPr>
            </w:pPr>
            <w:r w:rsidRPr="001D33A5">
              <w:rPr>
                <w:rFonts w:ascii="Arial" w:hAnsi="Arial" w:cs="Arial"/>
                <w:sz w:val="20"/>
                <w:szCs w:val="20"/>
              </w:rPr>
              <w:t xml:space="preserve">Fórmulas para calcular la cantidad de </w:t>
            </w:r>
            <w:r>
              <w:rPr>
                <w:rFonts w:ascii="Arial" w:hAnsi="Arial" w:cs="Arial"/>
                <w:sz w:val="20"/>
                <w:szCs w:val="20"/>
              </w:rPr>
              <w:t>instalaciones educativas</w:t>
            </w:r>
            <w:r w:rsidRPr="001D33A5">
              <w:rPr>
                <w:rFonts w:ascii="Arial" w:hAnsi="Arial" w:cs="Arial"/>
                <w:sz w:val="20"/>
                <w:szCs w:val="20"/>
              </w:rPr>
              <w:t xml:space="preserve"> según sus características: </w:t>
            </w:r>
          </w:p>
          <w:p w14:paraId="28090AF5" w14:textId="18077821" w:rsidR="00917BC3" w:rsidRPr="001D33A5" w:rsidRDefault="006A5CFF" w:rsidP="001D33A5">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CIEMSESI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DIPLAN</m:t>
                      </m:r>
                    </m:sup>
                  </m:sSubSup>
                </m:sup>
                <m:e>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e>
              </m:nary>
              <m:r>
                <w:rPr>
                  <w:rFonts w:ascii="Cambria Math" w:hAnsi="Cambria Math" w:cs="Arial"/>
                  <w:sz w:val="20"/>
                  <w:szCs w:val="20"/>
                </w:rPr>
                <m:t>)</m:t>
              </m:r>
            </m:oMath>
            <w:r w:rsidR="00917BC3" w:rsidRPr="001D33A5">
              <w:rPr>
                <w:rFonts w:ascii="Arial" w:hAnsi="Arial" w:cs="Arial"/>
                <w:sz w:val="20"/>
                <w:szCs w:val="20"/>
              </w:rPr>
              <w:t>…… (2)</w:t>
            </w:r>
          </w:p>
          <w:p w14:paraId="7DF61FA8" w14:textId="77777777" w:rsidR="00917BC3" w:rsidRPr="001D33A5" w:rsidRDefault="00917BC3" w:rsidP="001D33A5">
            <w:pPr>
              <w:contextualSpacing/>
              <w:jc w:val="both"/>
              <w:rPr>
                <w:rFonts w:ascii="Arial" w:hAnsi="Arial" w:cs="Arial"/>
                <w:sz w:val="20"/>
                <w:szCs w:val="20"/>
              </w:rPr>
            </w:pPr>
          </w:p>
          <w:p w14:paraId="66297B3F" w14:textId="3BD2EA1B"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w:t>
            </w:r>
            <w:r w:rsidR="00917BC3">
              <w:rPr>
                <w:rFonts w:ascii="Arial" w:hAnsi="Arial" w:cs="Arial"/>
                <w:sz w:val="20"/>
                <w:szCs w:val="20"/>
              </w:rPr>
              <w:t>Estado</w:t>
            </w:r>
            <w:r w:rsidR="00917BC3" w:rsidRPr="001D33A5">
              <w:rPr>
                <w:rFonts w:ascii="Arial" w:hAnsi="Arial" w:cs="Arial"/>
                <w:sz w:val="20"/>
                <w:szCs w:val="20"/>
              </w:rPr>
              <w:t xml:space="preserve"> de la </w:t>
            </w:r>
            <w:r w:rsidR="00917BC3">
              <w:rPr>
                <w:rFonts w:ascii="Arial" w:hAnsi="Arial" w:cs="Arial"/>
                <w:sz w:val="20"/>
                <w:szCs w:val="20"/>
              </w:rPr>
              <w:t>instalación educativa</w:t>
            </w:r>
            <w:r w:rsidR="00917BC3" w:rsidRPr="001D33A5">
              <w:rPr>
                <w:rFonts w:ascii="Arial" w:hAnsi="Arial" w:cs="Arial"/>
                <w:sz w:val="20"/>
                <w:szCs w:val="20"/>
              </w:rPr>
              <w:t xml:space="preserve"> i en el tiempo t según </w:t>
            </w:r>
            <w:r w:rsidR="00917BC3" w:rsidRPr="00D963BA">
              <w:rPr>
                <w:rFonts w:ascii="Arial" w:hAnsi="Arial" w:cs="Arial"/>
                <w:sz w:val="20"/>
                <w:szCs w:val="20"/>
              </w:rPr>
              <w:t>la aproximación realizada por medio de la Base de datos de</w:t>
            </w:r>
            <w:r w:rsidR="00917BC3">
              <w:rPr>
                <w:rFonts w:ascii="Arial" w:hAnsi="Arial" w:cs="Arial"/>
                <w:sz w:val="20"/>
                <w:szCs w:val="20"/>
              </w:rPr>
              <w:t>l estado de la</w:t>
            </w:r>
            <w:r w:rsidR="00917BC3" w:rsidRPr="00D963BA">
              <w:rPr>
                <w:rFonts w:ascii="Arial" w:hAnsi="Arial" w:cs="Arial"/>
                <w:sz w:val="20"/>
                <w:szCs w:val="20"/>
              </w:rPr>
              <w:t xml:space="preserve"> infraestructura de locales educativos de la DIPLAN</w:t>
            </w:r>
            <w:r w:rsidR="00917BC3" w:rsidRPr="00D963BA">
              <w:rPr>
                <w:rStyle w:val="Refdenotaalpie"/>
                <w:rFonts w:ascii="Arial" w:hAnsi="Arial" w:cs="Arial"/>
                <w:sz w:val="20"/>
                <w:szCs w:val="20"/>
              </w:rPr>
              <w:footnoteReference w:id="11"/>
            </w:r>
            <w:r w:rsidR="00917BC3" w:rsidRPr="001D33A5">
              <w:rPr>
                <w:rFonts w:ascii="Arial" w:hAnsi="Arial" w:cs="Arial"/>
                <w:sz w:val="20"/>
                <w:szCs w:val="20"/>
              </w:rPr>
              <w:t>, cuyo valor mínimo y máximo es 0 y 1 respectivamente</w:t>
            </w:r>
            <w:r w:rsidR="00673BE1">
              <w:rPr>
                <w:rFonts w:ascii="Arial" w:hAnsi="Arial" w:cs="Arial"/>
                <w:sz w:val="20"/>
                <w:szCs w:val="20"/>
              </w:rPr>
              <w:t xml:space="preserve"> en el tiempo t</w:t>
            </w:r>
            <w:r w:rsidR="00917BC3" w:rsidRPr="001D33A5">
              <w:rPr>
                <w:rFonts w:ascii="Arial" w:hAnsi="Arial" w:cs="Arial"/>
                <w:sz w:val="20"/>
                <w:szCs w:val="20"/>
              </w:rPr>
              <w:t>.</w:t>
            </w:r>
          </w:p>
          <w:p w14:paraId="606A0C9B" w14:textId="77777777" w:rsidR="00917BC3" w:rsidRPr="001D33A5" w:rsidRDefault="00917BC3" w:rsidP="001D33A5">
            <w:pPr>
              <w:ind w:left="708"/>
              <w:contextualSpacing/>
              <w:jc w:val="both"/>
              <w:rPr>
                <w:rFonts w:ascii="Arial" w:hAnsi="Arial" w:cs="Arial"/>
                <w:sz w:val="20"/>
                <w:szCs w:val="20"/>
              </w:rPr>
            </w:pPr>
          </w:p>
          <w:p w14:paraId="5F7285A7" w14:textId="256BE0E8" w:rsidR="00917BC3" w:rsidRPr="001D33A5" w:rsidRDefault="006A5CFF" w:rsidP="001D33A5">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CIEMSESI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CE</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e>
              </m:nary>
              <m:r>
                <w:rPr>
                  <w:rFonts w:ascii="Cambria Math" w:hAnsi="Cambria Math" w:cs="Arial"/>
                  <w:sz w:val="20"/>
                  <w:szCs w:val="20"/>
                </w:rPr>
                <m:t>)</m:t>
              </m:r>
            </m:oMath>
            <w:r w:rsidR="00917BC3" w:rsidRPr="001D33A5">
              <w:rPr>
                <w:rFonts w:ascii="Arial" w:hAnsi="Arial" w:cs="Arial"/>
                <w:sz w:val="20"/>
                <w:szCs w:val="20"/>
              </w:rPr>
              <w:t>……… (3)</w:t>
            </w:r>
          </w:p>
          <w:p w14:paraId="477E2E5C" w14:textId="77777777" w:rsidR="00917BC3" w:rsidRPr="001D33A5" w:rsidRDefault="00917BC3" w:rsidP="001D33A5">
            <w:pPr>
              <w:contextualSpacing/>
              <w:jc w:val="both"/>
              <w:rPr>
                <w:rFonts w:ascii="Arial" w:eastAsiaTheme="minorEastAsia" w:hAnsi="Arial" w:cs="Arial"/>
                <w:sz w:val="20"/>
                <w:szCs w:val="20"/>
              </w:rPr>
            </w:pPr>
          </w:p>
          <w:p w14:paraId="4EC55F54" w14:textId="2FABC20D"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Variable dicotómica que obtiene el valor de 1 cuando tiene al menos 1 ambiente de la </w:t>
            </w:r>
            <w:r w:rsidR="00917BC3">
              <w:rPr>
                <w:rFonts w:ascii="Arial" w:hAnsi="Arial" w:cs="Arial"/>
                <w:sz w:val="20"/>
                <w:szCs w:val="20"/>
              </w:rPr>
              <w:t>instalación educativa</w:t>
            </w:r>
            <w:r w:rsidR="00917BC3" w:rsidRPr="001D33A5">
              <w:rPr>
                <w:rFonts w:ascii="Arial" w:hAnsi="Arial" w:cs="Arial"/>
                <w:sz w:val="20"/>
                <w:szCs w:val="20"/>
              </w:rPr>
              <w:t xml:space="preserve"> diferente al buen estado, según la base de datos del Censo E</w:t>
            </w:r>
            <w:r w:rsidR="00917BC3">
              <w:rPr>
                <w:rFonts w:ascii="Arial" w:hAnsi="Arial" w:cs="Arial"/>
                <w:sz w:val="20"/>
                <w:szCs w:val="20"/>
              </w:rPr>
              <w:t>ducativa</w:t>
            </w:r>
            <w:r w:rsidR="00917BC3" w:rsidRPr="001D33A5">
              <w:rPr>
                <w:rFonts w:ascii="Arial" w:hAnsi="Arial" w:cs="Arial"/>
                <w:sz w:val="20"/>
                <w:szCs w:val="20"/>
              </w:rPr>
              <w:t xml:space="preserve"> en el tiempo t.</w:t>
            </w:r>
          </w:p>
          <w:p w14:paraId="04E7068A" w14:textId="77777777" w:rsidR="00917BC3" w:rsidRPr="001D33A5" w:rsidRDefault="00917BC3" w:rsidP="001D33A5">
            <w:pPr>
              <w:contextualSpacing/>
              <w:jc w:val="both"/>
              <w:rPr>
                <w:rFonts w:ascii="Arial" w:hAnsi="Arial" w:cs="Arial"/>
                <w:sz w:val="20"/>
                <w:szCs w:val="20"/>
              </w:rPr>
            </w:pPr>
          </w:p>
          <w:p w14:paraId="2DF29AA0" w14:textId="6B403F97" w:rsidR="00917BC3" w:rsidRPr="001D33A5" w:rsidRDefault="006A5CFF" w:rsidP="001D33A5">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CIEMSESI</m:t>
                  </m:r>
                </m:e>
                <m:sub>
                  <m:r>
                    <w:rPr>
                      <w:rFonts w:ascii="Cambria Math" w:hAnsi="Cambria Math" w:cs="Arial"/>
                      <w:sz w:val="20"/>
                      <w:szCs w:val="20"/>
                    </w:rPr>
                    <m:t>t</m:t>
                  </m:r>
                </m:sub>
                <m:sup>
                  <m:r>
                    <w:rPr>
                      <w:rFonts w:ascii="Cambria Math" w:hAnsi="Cambria Math" w:cs="Arial"/>
                      <w:sz w:val="20"/>
                      <w:szCs w:val="20"/>
                    </w:rPr>
                    <m:t>I</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e>
              </m:nary>
              <m:r>
                <w:rPr>
                  <w:rFonts w:ascii="Cambria Math" w:hAnsi="Cambria Math" w:cs="Arial"/>
                  <w:sz w:val="20"/>
                  <w:szCs w:val="20"/>
                </w:rPr>
                <m:t>)</m:t>
              </m:r>
            </m:oMath>
            <w:r w:rsidR="00917BC3" w:rsidRPr="001D33A5">
              <w:rPr>
                <w:rFonts w:ascii="Arial" w:hAnsi="Arial" w:cs="Arial"/>
                <w:sz w:val="20"/>
                <w:szCs w:val="20"/>
              </w:rPr>
              <w:t>……… (4)</w:t>
            </w:r>
          </w:p>
          <w:p w14:paraId="4F22B255" w14:textId="77777777" w:rsidR="00917BC3" w:rsidRPr="001D33A5" w:rsidRDefault="00917BC3" w:rsidP="001D33A5">
            <w:pPr>
              <w:contextualSpacing/>
              <w:jc w:val="both"/>
              <w:rPr>
                <w:rFonts w:ascii="Arial" w:eastAsiaTheme="minorEastAsia" w:hAnsi="Arial" w:cs="Arial"/>
                <w:sz w:val="20"/>
                <w:szCs w:val="20"/>
              </w:rPr>
            </w:pPr>
          </w:p>
          <w:p w14:paraId="0120484A" w14:textId="17B50A39"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Variable dicotómica que obtiene el valor de 1 cuando el estado</w:t>
            </w:r>
            <w:r w:rsidR="00917BC3">
              <w:rPr>
                <w:rFonts w:ascii="Arial" w:hAnsi="Arial" w:cs="Arial"/>
                <w:sz w:val="20"/>
                <w:szCs w:val="20"/>
              </w:rPr>
              <w:t xml:space="preserve"> situacional de la instalación educativa i en el tiempo t</w:t>
            </w:r>
            <w:r w:rsidR="00917BC3" w:rsidRPr="001D33A5">
              <w:rPr>
                <w:rFonts w:ascii="Arial" w:hAnsi="Arial" w:cs="Arial"/>
                <w:sz w:val="20"/>
                <w:szCs w:val="20"/>
              </w:rPr>
              <w:t xml:space="preserve"> es inadecuado y 0 cuando el estado</w:t>
            </w:r>
            <w:r w:rsidR="00917BC3">
              <w:rPr>
                <w:rFonts w:ascii="Arial" w:hAnsi="Arial" w:cs="Arial"/>
                <w:sz w:val="20"/>
                <w:szCs w:val="20"/>
              </w:rPr>
              <w:t xml:space="preserve"> situacional</w:t>
            </w:r>
            <w:r w:rsidR="00917BC3" w:rsidRPr="001D33A5">
              <w:rPr>
                <w:rFonts w:ascii="Arial" w:hAnsi="Arial" w:cs="Arial"/>
                <w:sz w:val="20"/>
                <w:szCs w:val="20"/>
              </w:rPr>
              <w:t xml:space="preserve"> es adecuado según la </w:t>
            </w:r>
            <w:r w:rsidR="00917BC3" w:rsidRPr="00162EDC">
              <w:rPr>
                <w:rFonts w:ascii="Arial" w:hAnsi="Arial" w:cs="Arial"/>
                <w:sz w:val="20"/>
                <w:szCs w:val="20"/>
              </w:rPr>
              <w:t>Base de datos del estado de las unidades productoras en el marco del SNPMGI</w:t>
            </w:r>
            <w:r w:rsidR="00917BC3" w:rsidRPr="001D33A5">
              <w:rPr>
                <w:rFonts w:ascii="Arial" w:hAnsi="Arial" w:cs="Arial"/>
                <w:sz w:val="20"/>
                <w:szCs w:val="20"/>
              </w:rPr>
              <w:t>, en el tiempo t.</w:t>
            </w:r>
          </w:p>
          <w:p w14:paraId="019ADA1B" w14:textId="77777777" w:rsidR="00917BC3" w:rsidRPr="001D33A5" w:rsidRDefault="00917BC3" w:rsidP="001D33A5">
            <w:pPr>
              <w:contextualSpacing/>
              <w:jc w:val="center"/>
              <w:rPr>
                <w:rFonts w:ascii="Arial" w:hAnsi="Arial" w:cs="Arial"/>
                <w:sz w:val="20"/>
                <w:szCs w:val="20"/>
              </w:rPr>
            </w:pPr>
          </w:p>
          <w:p w14:paraId="30230E1F" w14:textId="1E873822" w:rsidR="00917BC3" w:rsidRPr="001D33A5" w:rsidRDefault="006A5CFF" w:rsidP="001D33A5">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CTIEMSES</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CTIEMSESA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CTIEMSESI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oMath>
            <w:r w:rsidR="00917BC3" w:rsidRPr="001D33A5">
              <w:rPr>
                <w:rFonts w:ascii="Arial" w:eastAsiaTheme="minorEastAsia" w:hAnsi="Arial" w:cs="Arial"/>
                <w:sz w:val="20"/>
                <w:szCs w:val="20"/>
              </w:rPr>
              <w:t xml:space="preserve">  </w:t>
            </w:r>
            <w:r w:rsidR="00917BC3" w:rsidRPr="001D33A5">
              <w:rPr>
                <w:rFonts w:ascii="Arial" w:hAnsi="Arial" w:cs="Arial"/>
                <w:sz w:val="20"/>
                <w:szCs w:val="20"/>
              </w:rPr>
              <w:t>…… (5)</w:t>
            </w:r>
          </w:p>
          <w:p w14:paraId="293941BF" w14:textId="77777777" w:rsidR="00917BC3" w:rsidRPr="001D33A5" w:rsidRDefault="00917BC3" w:rsidP="001D33A5">
            <w:pPr>
              <w:contextualSpacing/>
              <w:jc w:val="center"/>
              <w:rPr>
                <w:rFonts w:ascii="Arial" w:hAnsi="Arial" w:cs="Arial"/>
                <w:sz w:val="20"/>
                <w:szCs w:val="20"/>
              </w:rPr>
            </w:pPr>
          </w:p>
          <w:p w14:paraId="3DF8CB43" w14:textId="77777777" w:rsidR="00917BC3" w:rsidRPr="001D33A5" w:rsidRDefault="00917BC3" w:rsidP="001D33A5">
            <w:pPr>
              <w:contextualSpacing/>
              <w:jc w:val="center"/>
              <w:rPr>
                <w:rFonts w:ascii="Arial" w:hAnsi="Arial" w:cs="Arial"/>
                <w:sz w:val="20"/>
                <w:szCs w:val="20"/>
              </w:rPr>
            </w:pPr>
          </w:p>
          <w:p w14:paraId="24013705" w14:textId="74246D89" w:rsidR="00917BC3" w:rsidRPr="001D33A5" w:rsidRDefault="00917BC3" w:rsidP="001D33A5">
            <w:pPr>
              <w:contextualSpacing/>
              <w:rPr>
                <w:rFonts w:ascii="Arial" w:hAnsi="Arial" w:cs="Arial"/>
                <w:sz w:val="20"/>
                <w:szCs w:val="20"/>
              </w:rPr>
            </w:pPr>
            <w:r w:rsidRPr="001D33A5">
              <w:rPr>
                <w:rFonts w:ascii="Arial" w:hAnsi="Arial" w:cs="Arial"/>
                <w:sz w:val="20"/>
                <w:szCs w:val="20"/>
              </w:rPr>
              <w:t xml:space="preserve">Donde: </w:t>
            </w:r>
          </w:p>
          <w:p w14:paraId="25FD127C" w14:textId="77777777" w:rsidR="00917BC3" w:rsidRPr="001D33A5" w:rsidRDefault="00917BC3" w:rsidP="001D33A5">
            <w:pPr>
              <w:contextualSpacing/>
              <w:jc w:val="center"/>
              <w:rPr>
                <w:rFonts w:ascii="Arial" w:hAnsi="Arial" w:cs="Arial"/>
                <w:sz w:val="20"/>
                <w:szCs w:val="20"/>
              </w:rPr>
            </w:pPr>
          </w:p>
          <w:p w14:paraId="79BC931E" w14:textId="64C5546B"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total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w:t>
            </w:r>
            <w:r w:rsidR="00917BC3" w:rsidRPr="001D33A5" w:rsidDel="007049F8">
              <w:rPr>
                <w:rFonts w:ascii="Arial" w:hAnsi="Arial" w:cs="Arial"/>
                <w:sz w:val="20"/>
                <w:szCs w:val="20"/>
              </w:rPr>
              <w:t xml:space="preserve"> </w:t>
            </w:r>
            <w:r w:rsidR="00917BC3" w:rsidRPr="001D33A5">
              <w:rPr>
                <w:rFonts w:ascii="Arial" w:hAnsi="Arial" w:cs="Arial"/>
                <w:sz w:val="20"/>
                <w:szCs w:val="20"/>
              </w:rPr>
              <w:t xml:space="preserve">identificadas en la </w:t>
            </w:r>
            <w:r w:rsidR="00917BC3" w:rsidRPr="00FF1A92">
              <w:rPr>
                <w:rFonts w:ascii="Arial" w:hAnsi="Arial" w:cs="Arial"/>
                <w:sz w:val="20"/>
                <w:szCs w:val="20"/>
              </w:rPr>
              <w:t>Base de datos del estado de las unidades productoras en el marco del SNPMGI</w:t>
            </w:r>
            <w:r w:rsidR="00917BC3">
              <w:rPr>
                <w:rFonts w:ascii="Arial" w:hAnsi="Arial" w:cs="Arial"/>
                <w:sz w:val="20"/>
                <w:szCs w:val="20"/>
              </w:rPr>
              <w:t xml:space="preserve"> </w:t>
            </w:r>
            <w:r w:rsidR="00917BC3" w:rsidRPr="001D33A5">
              <w:rPr>
                <w:rFonts w:ascii="Arial" w:hAnsi="Arial" w:cs="Arial"/>
                <w:sz w:val="20"/>
                <w:szCs w:val="20"/>
              </w:rPr>
              <w:t>en el tiempo t.</w:t>
            </w:r>
          </w:p>
          <w:p w14:paraId="5264DB63" w14:textId="77777777" w:rsidR="00917BC3" w:rsidRPr="001D33A5" w:rsidRDefault="00917BC3" w:rsidP="001D33A5">
            <w:pPr>
              <w:contextualSpacing/>
              <w:jc w:val="both"/>
              <w:rPr>
                <w:rFonts w:ascii="Arial" w:hAnsi="Arial" w:cs="Arial"/>
                <w:sz w:val="20"/>
                <w:szCs w:val="20"/>
              </w:rPr>
            </w:pPr>
          </w:p>
          <w:p w14:paraId="0241379D" w14:textId="46121B4E" w:rsidR="00917BC3" w:rsidRPr="001D33A5" w:rsidRDefault="006A5CFF" w:rsidP="001D33A5">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total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917BC3" w:rsidRPr="001D33A5">
              <w:rPr>
                <w:rFonts w:ascii="Arial" w:hAnsi="Arial" w:cs="Arial"/>
                <w:bCs/>
                <w:sz w:val="20"/>
                <w:szCs w:val="20"/>
                <w:lang w:val="es-MX"/>
              </w:rPr>
              <w:t xml:space="preserve">identificadas en la </w:t>
            </w:r>
            <w:r w:rsidR="00917BC3" w:rsidRPr="00E82698">
              <w:rPr>
                <w:rFonts w:ascii="Arial" w:hAnsi="Arial" w:cs="Arial"/>
                <w:bCs/>
                <w:sz w:val="20"/>
                <w:szCs w:val="20"/>
                <w:lang w:val="es-MX"/>
              </w:rPr>
              <w:t>Base de datos del estado de la infraestructura de los locales educativos de la DIPLAN</w:t>
            </w:r>
            <w:r w:rsidR="00917BC3" w:rsidRPr="001D33A5">
              <w:rPr>
                <w:rFonts w:ascii="Arial" w:hAnsi="Arial" w:cs="Arial"/>
                <w:bCs/>
                <w:sz w:val="20"/>
                <w:szCs w:val="20"/>
                <w:lang w:val="es-MX"/>
              </w:rPr>
              <w:t>, pero no</w:t>
            </w:r>
            <w:r w:rsidR="00917BC3" w:rsidRPr="001D33A5">
              <w:rPr>
                <w:rFonts w:ascii="Arial" w:hAnsi="Arial" w:cs="Arial"/>
                <w:sz w:val="20"/>
                <w:szCs w:val="20"/>
              </w:rPr>
              <w:t xml:space="preserve"> incluidas en la </w:t>
            </w:r>
            <w:r w:rsidR="00917BC3" w:rsidRPr="00FF1A92">
              <w:rPr>
                <w:rFonts w:ascii="Arial" w:hAnsi="Arial" w:cs="Arial"/>
                <w:sz w:val="20"/>
                <w:szCs w:val="20"/>
              </w:rPr>
              <w:t>Base de datos del estado de las unidades productoras en el marco del SNPMGI</w:t>
            </w:r>
            <w:r w:rsidR="00917BC3">
              <w:rPr>
                <w:rFonts w:ascii="Arial" w:hAnsi="Arial" w:cs="Arial"/>
                <w:sz w:val="20"/>
                <w:szCs w:val="20"/>
              </w:rPr>
              <w:t xml:space="preserve"> </w:t>
            </w:r>
            <w:r w:rsidR="00917BC3" w:rsidRPr="001D33A5">
              <w:rPr>
                <w:rFonts w:ascii="Arial" w:hAnsi="Arial" w:cs="Arial"/>
                <w:sz w:val="20"/>
                <w:szCs w:val="20"/>
              </w:rPr>
              <w:t>en el tiempo t.</w:t>
            </w:r>
          </w:p>
          <w:p w14:paraId="1AFF42ED" w14:textId="77777777" w:rsidR="00917BC3" w:rsidRPr="001D33A5" w:rsidRDefault="00917BC3" w:rsidP="001D33A5">
            <w:pPr>
              <w:ind w:left="696"/>
              <w:contextualSpacing/>
              <w:jc w:val="both"/>
              <w:rPr>
                <w:rFonts w:ascii="Arial" w:hAnsi="Arial" w:cs="Arial"/>
                <w:sz w:val="20"/>
                <w:szCs w:val="20"/>
              </w:rPr>
            </w:pPr>
          </w:p>
          <w:p w14:paraId="4DB73D1D" w14:textId="6CB2F263" w:rsidR="00917BC3" w:rsidRPr="001D33A5" w:rsidRDefault="006A5CFF" w:rsidP="001D33A5">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total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917BC3" w:rsidRPr="001D33A5">
              <w:rPr>
                <w:rFonts w:ascii="Arial" w:hAnsi="Arial" w:cs="Arial"/>
                <w:bCs/>
                <w:sz w:val="20"/>
                <w:szCs w:val="20"/>
                <w:lang w:val="es-MX"/>
              </w:rPr>
              <w:t>identificadas en la Base de Datos del Censo Educativo, pero no</w:t>
            </w:r>
            <w:r w:rsidR="00917BC3" w:rsidRPr="001D33A5">
              <w:rPr>
                <w:rFonts w:ascii="Arial" w:hAnsi="Arial" w:cs="Arial"/>
                <w:sz w:val="20"/>
                <w:szCs w:val="20"/>
              </w:rPr>
              <w:t xml:space="preserve"> incluidas en la </w:t>
            </w:r>
            <w:r w:rsidR="00917BC3" w:rsidRPr="00E82698">
              <w:rPr>
                <w:rFonts w:ascii="Arial" w:hAnsi="Arial" w:cs="Arial"/>
                <w:sz w:val="20"/>
                <w:szCs w:val="20"/>
              </w:rPr>
              <w:t>Base de datos del estado de la infraestructura de los locales educativos de la DIPLAN</w:t>
            </w:r>
            <w:r w:rsidR="00917BC3">
              <w:rPr>
                <w:rFonts w:ascii="Arial" w:hAnsi="Arial" w:cs="Arial"/>
                <w:sz w:val="20"/>
                <w:szCs w:val="20"/>
              </w:rPr>
              <w:t xml:space="preserve"> </w:t>
            </w:r>
            <w:r w:rsidR="00917BC3" w:rsidRPr="001D33A5">
              <w:rPr>
                <w:rFonts w:ascii="Arial" w:hAnsi="Arial" w:cs="Arial"/>
                <w:sz w:val="20"/>
                <w:szCs w:val="20"/>
              </w:rPr>
              <w:t xml:space="preserve">ni en la </w:t>
            </w:r>
            <w:r w:rsidR="00917BC3" w:rsidRPr="00FF1A92">
              <w:rPr>
                <w:rFonts w:ascii="Arial" w:hAnsi="Arial" w:cs="Arial"/>
                <w:sz w:val="20"/>
                <w:szCs w:val="20"/>
              </w:rPr>
              <w:t>Base de datos del estado de las unidades productoras en el marco del SNPMGI</w:t>
            </w:r>
            <w:r w:rsidR="00917BC3">
              <w:rPr>
                <w:rFonts w:ascii="Arial" w:hAnsi="Arial" w:cs="Arial"/>
                <w:sz w:val="20"/>
                <w:szCs w:val="20"/>
              </w:rPr>
              <w:t xml:space="preserve"> </w:t>
            </w:r>
            <w:r w:rsidR="00917BC3" w:rsidRPr="001D33A5">
              <w:rPr>
                <w:rFonts w:ascii="Arial" w:hAnsi="Arial" w:cs="Arial"/>
                <w:sz w:val="20"/>
                <w:szCs w:val="20"/>
              </w:rPr>
              <w:t>en el tiempo t.</w:t>
            </w:r>
          </w:p>
          <w:p w14:paraId="09B0692A" w14:textId="77777777" w:rsidR="00917BC3" w:rsidRPr="001D33A5" w:rsidRDefault="00917BC3" w:rsidP="001D33A5">
            <w:pPr>
              <w:ind w:left="696"/>
              <w:contextualSpacing/>
              <w:jc w:val="both"/>
              <w:rPr>
                <w:rFonts w:ascii="Arial" w:hAnsi="Arial" w:cs="Arial"/>
                <w:sz w:val="20"/>
                <w:szCs w:val="20"/>
              </w:rPr>
            </w:pPr>
          </w:p>
          <w:p w14:paraId="4FBF2BC0" w14:textId="6F676BC1"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CIEMSESI</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917BC3" w:rsidRPr="001D33A5">
              <w:rPr>
                <w:rFonts w:ascii="Arial" w:hAnsi="Arial" w:cs="Arial"/>
                <w:bCs/>
                <w:sz w:val="20"/>
                <w:szCs w:val="20"/>
                <w:lang w:val="es-MX"/>
              </w:rPr>
              <w:t xml:space="preserve">con </w:t>
            </w:r>
            <w:r w:rsidR="00917BC3">
              <w:rPr>
                <w:rFonts w:ascii="Arial" w:hAnsi="Arial" w:cs="Arial"/>
                <w:bCs/>
                <w:sz w:val="20"/>
                <w:szCs w:val="20"/>
                <w:lang w:val="es-MX"/>
              </w:rPr>
              <w:t>estado situacional</w:t>
            </w:r>
            <w:r w:rsidR="00917BC3" w:rsidRPr="001D33A5">
              <w:rPr>
                <w:rFonts w:ascii="Arial" w:hAnsi="Arial" w:cs="Arial"/>
                <w:bCs/>
                <w:sz w:val="20"/>
                <w:szCs w:val="20"/>
                <w:lang w:val="es-MX"/>
              </w:rPr>
              <w:t xml:space="preserve"> inadecuad</w:t>
            </w:r>
            <w:r w:rsidR="00917BC3">
              <w:rPr>
                <w:rFonts w:ascii="Arial" w:hAnsi="Arial" w:cs="Arial"/>
                <w:bCs/>
                <w:sz w:val="20"/>
                <w:szCs w:val="20"/>
                <w:lang w:val="es-MX"/>
              </w:rPr>
              <w:t>o</w:t>
            </w:r>
            <w:r w:rsidR="00917BC3" w:rsidRPr="001D33A5">
              <w:rPr>
                <w:rFonts w:ascii="Arial" w:hAnsi="Arial" w:cs="Arial"/>
                <w:sz w:val="20"/>
                <w:szCs w:val="20"/>
              </w:rPr>
              <w:t xml:space="preserve"> identificadas en la </w:t>
            </w:r>
            <w:r w:rsidR="00917BC3" w:rsidRPr="00FF1A92">
              <w:rPr>
                <w:rFonts w:ascii="Arial" w:hAnsi="Arial" w:cs="Arial"/>
                <w:sz w:val="20"/>
                <w:szCs w:val="20"/>
              </w:rPr>
              <w:t>Base de datos del estado de las unidades productoras en el marco del SNPMGI</w:t>
            </w:r>
            <w:r w:rsidR="00917BC3">
              <w:rPr>
                <w:rFonts w:ascii="Arial" w:hAnsi="Arial" w:cs="Arial"/>
                <w:sz w:val="20"/>
                <w:szCs w:val="20"/>
              </w:rPr>
              <w:t xml:space="preserve">, </w:t>
            </w:r>
            <w:r w:rsidR="00917BC3" w:rsidRPr="001D33A5">
              <w:rPr>
                <w:rFonts w:ascii="Arial" w:hAnsi="Arial" w:cs="Arial"/>
                <w:sz w:val="20"/>
                <w:szCs w:val="20"/>
              </w:rPr>
              <w:t>en el tiempo t.</w:t>
            </w:r>
          </w:p>
          <w:p w14:paraId="73FE4721" w14:textId="77777777" w:rsidR="00917BC3" w:rsidRPr="001D33A5" w:rsidRDefault="00917BC3" w:rsidP="001D33A5">
            <w:pPr>
              <w:ind w:left="696"/>
              <w:contextualSpacing/>
              <w:jc w:val="both"/>
              <w:rPr>
                <w:rFonts w:ascii="Arial" w:hAnsi="Arial" w:cs="Arial"/>
                <w:sz w:val="20"/>
                <w:szCs w:val="20"/>
              </w:rPr>
            </w:pPr>
          </w:p>
          <w:p w14:paraId="7CFBA9C8" w14:textId="67D75E71" w:rsidR="00917BC3" w:rsidRPr="001D33A5" w:rsidRDefault="006A5CFF" w:rsidP="001D33A5">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CIEMSESI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917BC3" w:rsidRPr="001D33A5">
              <w:rPr>
                <w:rFonts w:ascii="Arial" w:hAnsi="Arial" w:cs="Arial"/>
                <w:bCs/>
                <w:sz w:val="20"/>
                <w:szCs w:val="20"/>
                <w:lang w:val="es-MX"/>
              </w:rPr>
              <w:t xml:space="preserve">con </w:t>
            </w:r>
            <w:r w:rsidR="00917BC3">
              <w:rPr>
                <w:rFonts w:ascii="Arial" w:hAnsi="Arial" w:cs="Arial"/>
                <w:bCs/>
                <w:sz w:val="20"/>
                <w:szCs w:val="20"/>
                <w:lang w:val="es-MX"/>
              </w:rPr>
              <w:t>estado situacional</w:t>
            </w:r>
            <w:r w:rsidR="00917BC3" w:rsidRPr="001D33A5">
              <w:rPr>
                <w:rFonts w:ascii="Arial" w:hAnsi="Arial" w:cs="Arial"/>
                <w:bCs/>
                <w:sz w:val="20"/>
                <w:szCs w:val="20"/>
                <w:lang w:val="es-MX"/>
              </w:rPr>
              <w:t xml:space="preserve"> inadecuad</w:t>
            </w:r>
            <w:r w:rsidR="00917BC3">
              <w:rPr>
                <w:rFonts w:ascii="Arial" w:hAnsi="Arial" w:cs="Arial"/>
                <w:bCs/>
                <w:sz w:val="20"/>
                <w:szCs w:val="20"/>
                <w:lang w:val="es-MX"/>
              </w:rPr>
              <w:t>o</w:t>
            </w:r>
            <w:r w:rsidR="00917BC3" w:rsidRPr="001D33A5">
              <w:rPr>
                <w:rFonts w:ascii="Arial" w:hAnsi="Arial" w:cs="Arial"/>
                <w:bCs/>
                <w:sz w:val="20"/>
                <w:szCs w:val="20"/>
                <w:lang w:val="es-MX"/>
              </w:rPr>
              <w:t xml:space="preserve"> identificadas en la</w:t>
            </w:r>
            <w:r w:rsidR="00917BC3">
              <w:t xml:space="preserve"> </w:t>
            </w:r>
            <w:r w:rsidR="00917BC3" w:rsidRPr="001C1196">
              <w:rPr>
                <w:rFonts w:ascii="Arial" w:hAnsi="Arial" w:cs="Arial"/>
                <w:sz w:val="20"/>
                <w:szCs w:val="20"/>
              </w:rPr>
              <w:t>Base de datos del estado de la infraestructura de los locales educativos de la DIPLAN</w:t>
            </w:r>
            <w:r w:rsidR="00917BC3" w:rsidRPr="001D33A5">
              <w:rPr>
                <w:rFonts w:ascii="Arial" w:hAnsi="Arial" w:cs="Arial"/>
                <w:sz w:val="20"/>
                <w:szCs w:val="20"/>
              </w:rPr>
              <w:t xml:space="preserve">, pero no incluidas en la </w:t>
            </w:r>
            <w:r w:rsidR="00917BC3" w:rsidRPr="00FF1A92">
              <w:rPr>
                <w:rFonts w:ascii="Arial" w:hAnsi="Arial" w:cs="Arial"/>
                <w:sz w:val="20"/>
                <w:szCs w:val="20"/>
              </w:rPr>
              <w:t>Base de datos del estado de las unidades productoras en el marco del SNPMGI</w:t>
            </w:r>
            <w:r w:rsidR="00917BC3">
              <w:rPr>
                <w:rFonts w:ascii="Arial" w:hAnsi="Arial" w:cs="Arial"/>
                <w:sz w:val="20"/>
                <w:szCs w:val="20"/>
              </w:rPr>
              <w:t xml:space="preserve"> </w:t>
            </w:r>
            <w:r w:rsidR="00917BC3" w:rsidRPr="001D33A5">
              <w:rPr>
                <w:rFonts w:ascii="Arial" w:hAnsi="Arial" w:cs="Arial"/>
                <w:sz w:val="20"/>
                <w:szCs w:val="20"/>
              </w:rPr>
              <w:t>en el tiempo t.</w:t>
            </w:r>
          </w:p>
          <w:p w14:paraId="5DAD53F7" w14:textId="77777777" w:rsidR="00917BC3" w:rsidRPr="001D33A5" w:rsidRDefault="00917BC3" w:rsidP="001D33A5">
            <w:pPr>
              <w:ind w:left="696"/>
              <w:contextualSpacing/>
              <w:jc w:val="both"/>
              <w:rPr>
                <w:rFonts w:ascii="Arial" w:hAnsi="Arial" w:cs="Arial"/>
                <w:sz w:val="20"/>
                <w:szCs w:val="20"/>
              </w:rPr>
            </w:pPr>
          </w:p>
          <w:p w14:paraId="5D7B23BD" w14:textId="264316BB" w:rsidR="00917BC3" w:rsidRPr="001D33A5" w:rsidRDefault="006A5CFF" w:rsidP="001D33A5">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CIEMSESI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917BC3" w:rsidRPr="001D33A5">
              <w:rPr>
                <w:rFonts w:ascii="Arial" w:hAnsi="Arial" w:cs="Arial"/>
                <w:sz w:val="20"/>
                <w:szCs w:val="20"/>
              </w:rPr>
              <w:t xml:space="preserve"> Cantidad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w:t>
            </w:r>
            <w:r w:rsidR="00281C58" w:rsidRPr="001D33A5">
              <w:rPr>
                <w:rFonts w:ascii="Arial" w:hAnsi="Arial" w:cs="Arial"/>
                <w:sz w:val="20"/>
                <w:szCs w:val="20"/>
              </w:rPr>
              <w:t>Sobresaliente con</w:t>
            </w:r>
            <w:r w:rsidR="00917BC3" w:rsidRPr="001D33A5">
              <w:rPr>
                <w:rFonts w:ascii="Arial" w:hAnsi="Arial" w:cs="Arial"/>
                <w:bCs/>
                <w:sz w:val="20"/>
                <w:szCs w:val="20"/>
                <w:lang w:val="es-MX"/>
              </w:rPr>
              <w:t xml:space="preserve"> </w:t>
            </w:r>
            <w:r w:rsidR="00917BC3">
              <w:rPr>
                <w:rFonts w:ascii="Arial" w:hAnsi="Arial" w:cs="Arial"/>
                <w:bCs/>
                <w:sz w:val="20"/>
                <w:szCs w:val="20"/>
                <w:lang w:val="es-MX"/>
              </w:rPr>
              <w:t>estado situacional</w:t>
            </w:r>
            <w:r w:rsidR="00917BC3" w:rsidRPr="001D33A5">
              <w:rPr>
                <w:rFonts w:ascii="Arial" w:hAnsi="Arial" w:cs="Arial"/>
                <w:bCs/>
                <w:sz w:val="20"/>
                <w:szCs w:val="20"/>
                <w:lang w:val="es-MX"/>
              </w:rPr>
              <w:t xml:space="preserve"> inadecuad</w:t>
            </w:r>
            <w:r w:rsidR="00917BC3">
              <w:rPr>
                <w:rFonts w:ascii="Arial" w:hAnsi="Arial" w:cs="Arial"/>
                <w:bCs/>
                <w:sz w:val="20"/>
                <w:szCs w:val="20"/>
                <w:lang w:val="es-MX"/>
              </w:rPr>
              <w:t>o</w:t>
            </w:r>
            <w:r w:rsidR="00917BC3" w:rsidRPr="001D33A5">
              <w:rPr>
                <w:rFonts w:ascii="Arial" w:hAnsi="Arial" w:cs="Arial"/>
                <w:bCs/>
                <w:sz w:val="20"/>
                <w:szCs w:val="20"/>
                <w:lang w:val="es-MX"/>
              </w:rPr>
              <w:t xml:space="preserve"> identificadas en la Base de Datos del Censo Educativo, pero no incluidas en la </w:t>
            </w:r>
            <w:r w:rsidR="00917BC3" w:rsidRPr="006A7E9D">
              <w:rPr>
                <w:rFonts w:ascii="Arial" w:hAnsi="Arial" w:cs="Arial"/>
                <w:bCs/>
                <w:sz w:val="20"/>
                <w:szCs w:val="20"/>
                <w:lang w:val="es-MX"/>
              </w:rPr>
              <w:t>Base de datos del estado de la infraestructura de los locales educativos de la DIPLAN</w:t>
            </w:r>
            <w:r w:rsidR="00917BC3" w:rsidRPr="001D33A5">
              <w:rPr>
                <w:rFonts w:ascii="Arial" w:hAnsi="Arial" w:cs="Arial"/>
                <w:sz w:val="20"/>
                <w:szCs w:val="20"/>
              </w:rPr>
              <w:t xml:space="preserve"> ni en la </w:t>
            </w:r>
            <w:r w:rsidR="00917BC3" w:rsidRPr="00F55D9F">
              <w:rPr>
                <w:rFonts w:ascii="Arial" w:hAnsi="Arial" w:cs="Arial"/>
                <w:sz w:val="20"/>
                <w:szCs w:val="20"/>
              </w:rPr>
              <w:t>Base de datos del estado de las unidades productoras en el marco del SNPMGI</w:t>
            </w:r>
            <w:r w:rsidR="00917BC3" w:rsidRPr="001D33A5">
              <w:rPr>
                <w:rFonts w:ascii="Arial" w:hAnsi="Arial" w:cs="Arial"/>
                <w:sz w:val="20"/>
                <w:szCs w:val="20"/>
              </w:rPr>
              <w:t xml:space="preserve">, en el tiempo t. </w:t>
            </w:r>
          </w:p>
          <w:p w14:paraId="5816F0E9" w14:textId="77777777" w:rsidR="00917BC3" w:rsidRPr="001D33A5" w:rsidRDefault="00917BC3" w:rsidP="001D33A5">
            <w:pPr>
              <w:ind w:left="696"/>
              <w:contextualSpacing/>
              <w:jc w:val="both"/>
              <w:rPr>
                <w:rFonts w:ascii="Arial" w:hAnsi="Arial" w:cs="Arial"/>
                <w:sz w:val="20"/>
                <w:szCs w:val="20"/>
              </w:rPr>
            </w:pPr>
          </w:p>
          <w:p w14:paraId="03250007" w14:textId="3D5A2F94" w:rsidR="00917BC3" w:rsidRPr="009349CD" w:rsidRDefault="006A5CFF" w:rsidP="00281C58">
            <w:pPr>
              <w:ind w:left="738"/>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CTIEMSESI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917BC3" w:rsidRPr="009349CD">
              <w:rPr>
                <w:rFonts w:ascii="Arial" w:hAnsi="Arial" w:cs="Arial"/>
                <w:sz w:val="20"/>
                <w:szCs w:val="20"/>
              </w:rPr>
              <w:t xml:space="preserve"> Cantidad de instalaciones educativas que implementan el MSE Sobresaliente </w:t>
            </w:r>
            <w:r w:rsidR="00281C58" w:rsidRPr="009349CD">
              <w:rPr>
                <w:rFonts w:ascii="Arial" w:hAnsi="Arial" w:cs="Arial"/>
                <w:bCs/>
                <w:sz w:val="20"/>
                <w:szCs w:val="20"/>
                <w:lang w:val="es-MX"/>
              </w:rPr>
              <w:t xml:space="preserve">con </w:t>
            </w:r>
            <w:r w:rsidR="00281C58">
              <w:rPr>
                <w:rFonts w:ascii="Arial" w:hAnsi="Arial" w:cs="Arial"/>
                <w:bCs/>
                <w:sz w:val="20"/>
                <w:szCs w:val="20"/>
                <w:lang w:val="es-MX"/>
              </w:rPr>
              <w:t>estado</w:t>
            </w:r>
            <w:r w:rsidR="00917BC3">
              <w:rPr>
                <w:rFonts w:ascii="Arial" w:hAnsi="Arial" w:cs="Arial"/>
                <w:bCs/>
                <w:sz w:val="20"/>
                <w:szCs w:val="20"/>
                <w:lang w:val="es-MX"/>
              </w:rPr>
              <w:t xml:space="preserve"> situacional</w:t>
            </w:r>
            <w:r w:rsidR="00917BC3" w:rsidRPr="009349CD">
              <w:rPr>
                <w:rFonts w:ascii="Arial" w:hAnsi="Arial" w:cs="Arial"/>
                <w:bCs/>
                <w:sz w:val="20"/>
                <w:szCs w:val="20"/>
                <w:lang w:val="es-MX"/>
              </w:rPr>
              <w:t xml:space="preserve"> inadecuad</w:t>
            </w:r>
            <w:r w:rsidR="00917BC3">
              <w:rPr>
                <w:rFonts w:ascii="Arial" w:hAnsi="Arial" w:cs="Arial"/>
                <w:bCs/>
                <w:sz w:val="20"/>
                <w:szCs w:val="20"/>
                <w:lang w:val="es-MX"/>
              </w:rPr>
              <w:t>o</w:t>
            </w:r>
            <w:r w:rsidR="00917BC3" w:rsidRPr="009349CD">
              <w:rPr>
                <w:rFonts w:ascii="Arial" w:hAnsi="Arial" w:cs="Arial"/>
                <w:sz w:val="20"/>
                <w:szCs w:val="20"/>
              </w:rPr>
              <w:t xml:space="preserve"> identificadas en la Base de datos del estado de las unidades productoras en el marco del SNPMGI, </w:t>
            </w:r>
            <w:r w:rsidR="00917BC3" w:rsidRPr="00281C58">
              <w:rPr>
                <w:rFonts w:ascii="Arial" w:hAnsi="Arial" w:cs="Arial"/>
                <w:sz w:val="20"/>
                <w:szCs w:val="20"/>
              </w:rPr>
              <w:t xml:space="preserve">del estado de la infraestructura de los locales educativos de la </w:t>
            </w:r>
            <w:r w:rsidR="00281C58" w:rsidRPr="00281C58">
              <w:rPr>
                <w:rFonts w:ascii="Arial" w:hAnsi="Arial" w:cs="Arial"/>
                <w:sz w:val="20"/>
                <w:szCs w:val="20"/>
              </w:rPr>
              <w:t>DIPLA</w:t>
            </w:r>
            <w:r w:rsidR="00281C58">
              <w:rPr>
                <w:rFonts w:ascii="Arial" w:hAnsi="Arial" w:cs="Arial"/>
                <w:sz w:val="20"/>
                <w:szCs w:val="20"/>
              </w:rPr>
              <w:t>N,</w:t>
            </w:r>
            <w:r w:rsidR="00917BC3" w:rsidRPr="009349CD">
              <w:rPr>
                <w:rFonts w:ascii="Arial" w:hAnsi="Arial" w:cs="Arial"/>
                <w:sz w:val="20"/>
                <w:szCs w:val="20"/>
              </w:rPr>
              <w:t xml:space="preserve"> y del Censo Educativo, en el tiempo t.</w:t>
            </w:r>
          </w:p>
          <w:p w14:paraId="3D7EB6CE" w14:textId="77777777" w:rsidR="00917BC3" w:rsidRPr="001D33A5" w:rsidRDefault="00917BC3" w:rsidP="001D33A5">
            <w:pPr>
              <w:ind w:left="708"/>
              <w:contextualSpacing/>
              <w:jc w:val="both"/>
              <w:rPr>
                <w:rFonts w:ascii="Arial" w:hAnsi="Arial" w:cs="Arial"/>
                <w:sz w:val="20"/>
                <w:szCs w:val="20"/>
              </w:rPr>
            </w:pPr>
          </w:p>
          <w:p w14:paraId="4137C166" w14:textId="542658FB"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CTIEMSES</m:t>
                  </m:r>
                </m:e>
                <m:sub>
                  <m:r>
                    <w:rPr>
                      <w:rFonts w:ascii="Cambria Math" w:hAnsi="Cambria Math" w:cs="Arial"/>
                      <w:sz w:val="20"/>
                      <w:szCs w:val="20"/>
                    </w:rPr>
                    <m:t>t</m:t>
                  </m:r>
                </m:sub>
                <m:sup>
                  <m:r>
                    <w:rPr>
                      <w:rFonts w:ascii="Cambria Math" w:hAnsi="Cambria Math" w:cs="Arial"/>
                      <w:sz w:val="20"/>
                      <w:szCs w:val="20"/>
                    </w:rPr>
                    <m:t xml:space="preserve"> </m:t>
                  </m:r>
                </m:sup>
              </m:sSubSup>
              <m:r>
                <m:rPr>
                  <m:sty m:val="p"/>
                </m:rPr>
                <w:rPr>
                  <w:rFonts w:ascii="Cambria Math" w:eastAsia="Times New Roman" w:hAnsi="Cambria Math" w:cs="Arial"/>
                  <w:sz w:val="20"/>
                  <w:szCs w:val="20"/>
                </w:rPr>
                <m:t>:</m:t>
              </m:r>
            </m:oMath>
            <w:r w:rsidR="00917BC3" w:rsidRPr="001D33A5">
              <w:rPr>
                <w:rFonts w:ascii="Arial" w:hAnsi="Arial" w:cs="Arial"/>
                <w:sz w:val="20"/>
                <w:szCs w:val="20"/>
              </w:rPr>
              <w:t xml:space="preserve"> Cantidad total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identificadas en la </w:t>
            </w:r>
            <w:r w:rsidR="00917BC3" w:rsidRPr="00F55D9F">
              <w:rPr>
                <w:rFonts w:ascii="Arial" w:hAnsi="Arial" w:cs="Arial"/>
                <w:sz w:val="20"/>
                <w:szCs w:val="20"/>
              </w:rPr>
              <w:t>Base de datos del estado de las unidades productoras en el marco del SNPMGI</w:t>
            </w:r>
            <w:r w:rsidR="00917BC3" w:rsidRPr="001D33A5">
              <w:rPr>
                <w:rFonts w:ascii="Arial" w:hAnsi="Arial" w:cs="Arial"/>
                <w:sz w:val="20"/>
                <w:szCs w:val="20"/>
              </w:rPr>
              <w:t xml:space="preserve">, </w:t>
            </w:r>
            <w:r w:rsidR="00917BC3" w:rsidRPr="003363D2">
              <w:rPr>
                <w:rFonts w:ascii="Arial" w:hAnsi="Arial" w:cs="Arial"/>
                <w:sz w:val="20"/>
                <w:szCs w:val="20"/>
              </w:rPr>
              <w:t>del estado de la infraestructura de los locales educativos de la DIPLAN</w:t>
            </w:r>
            <w:r w:rsidR="00917BC3" w:rsidRPr="001D33A5">
              <w:rPr>
                <w:rFonts w:ascii="Arial" w:hAnsi="Arial" w:cs="Arial"/>
                <w:sz w:val="20"/>
                <w:szCs w:val="20"/>
              </w:rPr>
              <w:t>, y del Censo Educativo</w:t>
            </w:r>
            <w:r w:rsidR="00917BC3">
              <w:rPr>
                <w:rFonts w:ascii="Arial" w:hAnsi="Arial" w:cs="Arial"/>
                <w:sz w:val="20"/>
                <w:szCs w:val="20"/>
              </w:rPr>
              <w:t>,</w:t>
            </w:r>
            <w:r w:rsidR="00917BC3" w:rsidRPr="001D33A5">
              <w:rPr>
                <w:rFonts w:ascii="Arial" w:hAnsi="Arial" w:cs="Arial"/>
                <w:sz w:val="20"/>
                <w:szCs w:val="20"/>
              </w:rPr>
              <w:t xml:space="preserve"> en el tiempo t.</w:t>
            </w:r>
          </w:p>
          <w:p w14:paraId="0897DA52" w14:textId="77777777" w:rsidR="00917BC3" w:rsidRPr="001D33A5" w:rsidRDefault="00917BC3" w:rsidP="001D33A5">
            <w:pPr>
              <w:ind w:left="708"/>
              <w:contextualSpacing/>
              <w:jc w:val="both"/>
              <w:rPr>
                <w:rFonts w:ascii="Arial" w:hAnsi="Arial" w:cs="Arial"/>
                <w:sz w:val="20"/>
                <w:szCs w:val="20"/>
              </w:rPr>
            </w:pPr>
          </w:p>
          <w:p w14:paraId="22996DD0" w14:textId="7FDCD650" w:rsidR="00917BC3" w:rsidRPr="001D33A5" w:rsidRDefault="006A5CFF" w:rsidP="001D33A5">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CTIEMSESA</m:t>
                  </m:r>
                </m:e>
                <m:sub>
                  <m:r>
                    <m:rPr>
                      <m:sty m:val="bi"/>
                    </m:rPr>
                    <w:rPr>
                      <w:rFonts w:ascii="Cambria Math" w:hAnsi="Cambria Math" w:cs="Arial"/>
                      <w:sz w:val="20"/>
                      <w:szCs w:val="20"/>
                    </w:rPr>
                    <m:t>t</m:t>
                  </m:r>
                </m:sub>
                <m:sup>
                  <m:r>
                    <w:rPr>
                      <w:rFonts w:ascii="Cambria Math" w:hAnsi="Cambria Math" w:cs="Arial"/>
                      <w:sz w:val="20"/>
                      <w:szCs w:val="20"/>
                    </w:rPr>
                    <m:t xml:space="preserve"> </m:t>
                  </m:r>
                </m:sup>
              </m:sSubSup>
            </m:oMath>
            <w:r w:rsidR="00917BC3" w:rsidRPr="001D33A5">
              <w:rPr>
                <w:rFonts w:ascii="Arial" w:hAnsi="Arial" w:cs="Arial"/>
                <w:i/>
                <w:sz w:val="20"/>
                <w:szCs w:val="20"/>
              </w:rPr>
              <w:t xml:space="preserve">: </w:t>
            </w:r>
            <w:r w:rsidR="00917BC3" w:rsidRPr="001D33A5">
              <w:rPr>
                <w:rFonts w:ascii="Arial" w:hAnsi="Arial" w:cs="Arial"/>
                <w:sz w:val="20"/>
                <w:szCs w:val="20"/>
              </w:rPr>
              <w:t xml:space="preserve">Cantidad de </w:t>
            </w:r>
            <w:r w:rsidR="00917BC3">
              <w:rPr>
                <w:rFonts w:ascii="Arial" w:hAnsi="Arial" w:cs="Arial"/>
                <w:sz w:val="20"/>
                <w:szCs w:val="20"/>
              </w:rPr>
              <w:t>instalaciones educativas</w:t>
            </w:r>
            <w:r w:rsidR="00917BC3" w:rsidRPr="001D33A5">
              <w:rPr>
                <w:rFonts w:ascii="Arial" w:hAnsi="Arial" w:cs="Arial"/>
                <w:sz w:val="20"/>
                <w:szCs w:val="20"/>
              </w:rPr>
              <w:t xml:space="preserve"> que implementan el MSE Sobresaliente </w:t>
            </w:r>
            <w:r w:rsidR="00281C58" w:rsidRPr="001D33A5">
              <w:rPr>
                <w:rFonts w:ascii="Arial" w:hAnsi="Arial" w:cs="Arial"/>
                <w:sz w:val="20"/>
                <w:szCs w:val="20"/>
              </w:rPr>
              <w:t xml:space="preserve">con </w:t>
            </w:r>
            <w:r w:rsidR="00281C58">
              <w:rPr>
                <w:rFonts w:ascii="Arial" w:hAnsi="Arial" w:cs="Arial"/>
                <w:sz w:val="20"/>
                <w:szCs w:val="20"/>
              </w:rPr>
              <w:t>estado</w:t>
            </w:r>
            <w:r w:rsidR="00917BC3">
              <w:rPr>
                <w:rFonts w:ascii="Arial" w:hAnsi="Arial" w:cs="Arial"/>
                <w:sz w:val="20"/>
                <w:szCs w:val="20"/>
              </w:rPr>
              <w:t xml:space="preserve"> situacional</w:t>
            </w:r>
            <w:r w:rsidR="00917BC3" w:rsidRPr="001D33A5">
              <w:rPr>
                <w:rFonts w:ascii="Arial" w:hAnsi="Arial" w:cs="Arial"/>
                <w:sz w:val="20"/>
                <w:szCs w:val="20"/>
              </w:rPr>
              <w:t xml:space="preserve"> adecuad</w:t>
            </w:r>
            <w:r w:rsidR="00917BC3">
              <w:rPr>
                <w:rFonts w:ascii="Arial" w:hAnsi="Arial" w:cs="Arial"/>
                <w:sz w:val="20"/>
                <w:szCs w:val="20"/>
              </w:rPr>
              <w:t>o</w:t>
            </w:r>
            <w:r w:rsidR="00917BC3" w:rsidRPr="001D33A5">
              <w:rPr>
                <w:rFonts w:ascii="Arial" w:hAnsi="Arial" w:cs="Arial"/>
                <w:sz w:val="20"/>
                <w:szCs w:val="20"/>
              </w:rPr>
              <w:t xml:space="preserve"> identificadas en la </w:t>
            </w:r>
            <w:r w:rsidR="00917BC3" w:rsidRPr="008043DE">
              <w:rPr>
                <w:rFonts w:ascii="Arial" w:hAnsi="Arial" w:cs="Arial"/>
                <w:sz w:val="20"/>
                <w:szCs w:val="20"/>
              </w:rPr>
              <w:t>Base de datos del estado de las unidades productoras en el marco del SNPMGI</w:t>
            </w:r>
            <w:r w:rsidR="00917BC3" w:rsidRPr="001D33A5">
              <w:rPr>
                <w:rFonts w:ascii="Arial" w:hAnsi="Arial" w:cs="Arial"/>
                <w:sz w:val="20"/>
                <w:szCs w:val="20"/>
              </w:rPr>
              <w:t xml:space="preserve">, </w:t>
            </w:r>
            <w:r w:rsidR="00917BC3" w:rsidRPr="000660B9">
              <w:rPr>
                <w:rFonts w:ascii="Arial" w:hAnsi="Arial" w:cs="Arial"/>
                <w:sz w:val="20"/>
                <w:szCs w:val="20"/>
              </w:rPr>
              <w:t>del estado de la infraestructura de los locales educativos de la DIPLAN</w:t>
            </w:r>
            <w:r w:rsidR="00917BC3" w:rsidRPr="001D33A5">
              <w:rPr>
                <w:rFonts w:ascii="Arial" w:hAnsi="Arial" w:cs="Arial"/>
                <w:sz w:val="20"/>
                <w:szCs w:val="20"/>
              </w:rPr>
              <w:t>, y del Censo Educativo, en el tiempo t.</w:t>
            </w:r>
          </w:p>
          <w:p w14:paraId="0EA8EFB9" w14:textId="77777777" w:rsidR="00917BC3" w:rsidRPr="001D33A5" w:rsidRDefault="00917BC3" w:rsidP="001D33A5">
            <w:pPr>
              <w:ind w:left="708"/>
              <w:contextualSpacing/>
              <w:jc w:val="both"/>
              <w:rPr>
                <w:rFonts w:ascii="Arial" w:hAnsi="Arial" w:cs="Arial"/>
                <w:sz w:val="20"/>
                <w:szCs w:val="20"/>
              </w:rPr>
            </w:pPr>
          </w:p>
          <w:p w14:paraId="3B36C1BA" w14:textId="77777777" w:rsidR="00917BC3" w:rsidRPr="001D33A5" w:rsidRDefault="00917BC3" w:rsidP="00281C58">
            <w:pPr>
              <w:contextualSpacing/>
              <w:jc w:val="both"/>
              <w:rPr>
                <w:rFonts w:ascii="Arial" w:hAnsi="Arial" w:cs="Arial"/>
                <w:b/>
                <w:bCs/>
                <w:sz w:val="20"/>
                <w:szCs w:val="20"/>
              </w:rPr>
            </w:pPr>
          </w:p>
        </w:tc>
      </w:tr>
      <w:tr w:rsidR="00917BC3" w:rsidRPr="001D33A5" w14:paraId="730684A9" w14:textId="4CA7E152"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917BC3" w:rsidRPr="001D33A5" w:rsidRDefault="00917BC3" w:rsidP="001D33A5">
            <w:pPr>
              <w:rPr>
                <w:rFonts w:ascii="Arial" w:hAnsi="Arial" w:cs="Arial"/>
                <w:sz w:val="20"/>
                <w:szCs w:val="20"/>
              </w:rPr>
            </w:pPr>
            <w:r w:rsidRPr="001D33A5">
              <w:rPr>
                <w:rFonts w:ascii="Arial" w:hAnsi="Arial" w:cs="Arial"/>
                <w:b/>
                <w:bCs/>
                <w:sz w:val="20"/>
                <w:szCs w:val="20"/>
              </w:rPr>
              <w:lastRenderedPageBreak/>
              <w:t>Precisiones Técnicas</w:t>
            </w:r>
          </w:p>
        </w:tc>
      </w:tr>
      <w:tr w:rsidR="00917BC3" w:rsidRPr="001D33A5" w14:paraId="706D69A9"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917BC3" w:rsidRPr="001D33A5" w:rsidRDefault="00917BC3" w:rsidP="001D33A5">
            <w:pPr>
              <w:autoSpaceDE w:val="0"/>
              <w:autoSpaceDN w:val="0"/>
              <w:contextualSpacing/>
              <w:jc w:val="both"/>
              <w:rPr>
                <w:rFonts w:ascii="Arial" w:hAnsi="Arial" w:cs="Arial"/>
                <w:color w:val="FF0000"/>
                <w:sz w:val="20"/>
                <w:szCs w:val="20"/>
              </w:rPr>
            </w:pPr>
          </w:p>
          <w:p w14:paraId="32DA7FA6" w14:textId="17FCDC0A" w:rsidR="00917BC3" w:rsidRPr="001D33A5" w:rsidRDefault="00917BC3" w:rsidP="006B6A86">
            <w:pPr>
              <w:pStyle w:val="Prrafodelista"/>
              <w:numPr>
                <w:ilvl w:val="0"/>
                <w:numId w:val="2"/>
              </w:numPr>
              <w:ind w:left="589" w:hanging="589"/>
              <w:jc w:val="both"/>
              <w:rPr>
                <w:rFonts w:ascii="Arial" w:hAnsi="Arial" w:cs="Arial"/>
                <w:sz w:val="20"/>
                <w:szCs w:val="20"/>
              </w:rPr>
            </w:pPr>
            <w:r w:rsidRPr="001D33A5">
              <w:rPr>
                <w:rFonts w:ascii="Arial" w:hAnsi="Arial" w:cs="Arial"/>
                <w:sz w:val="20"/>
                <w:szCs w:val="20"/>
              </w:rPr>
              <w:t>El diagnóstico o tipo de intervención que puede recibir un local educativo,</w:t>
            </w:r>
            <w:r>
              <w:rPr>
                <w:rFonts w:ascii="Arial" w:hAnsi="Arial" w:cs="Arial"/>
                <w:sz w:val="20"/>
                <w:szCs w:val="20"/>
              </w:rPr>
              <w:t xml:space="preserve"> instalación educativa</w:t>
            </w:r>
            <w:r w:rsidRPr="001D33A5">
              <w:rPr>
                <w:rFonts w:ascii="Arial" w:hAnsi="Arial" w:cs="Arial"/>
                <w:sz w:val="20"/>
                <w:szCs w:val="20"/>
              </w:rPr>
              <w:t xml:space="preserve"> o ambiente, según las fuentes de información, se detalla a continuación:</w:t>
            </w:r>
          </w:p>
          <w:p w14:paraId="035FE2EB" w14:textId="77777777" w:rsidR="00917BC3" w:rsidRPr="001D33A5" w:rsidRDefault="00917BC3" w:rsidP="001D33A5">
            <w:pPr>
              <w:jc w:val="both"/>
              <w:rPr>
                <w:rFonts w:ascii="Arial" w:hAnsi="Arial" w:cs="Arial"/>
                <w:sz w:val="20"/>
                <w:szCs w:val="20"/>
              </w:rPr>
            </w:pPr>
          </w:p>
          <w:p w14:paraId="1090FC29" w14:textId="6E44A766" w:rsidR="00917BC3" w:rsidRDefault="008E64DA" w:rsidP="006B6A86">
            <w:pPr>
              <w:pStyle w:val="Prrafodelista"/>
              <w:numPr>
                <w:ilvl w:val="1"/>
                <w:numId w:val="2"/>
              </w:numPr>
              <w:ind w:left="873" w:hanging="284"/>
              <w:jc w:val="both"/>
              <w:rPr>
                <w:rFonts w:ascii="Arial" w:hAnsi="Arial" w:cs="Arial"/>
                <w:sz w:val="20"/>
                <w:szCs w:val="20"/>
              </w:rPr>
            </w:pPr>
            <w:r w:rsidRPr="005E20DF">
              <w:rPr>
                <w:rFonts w:ascii="Arial" w:hAnsi="Arial" w:cs="Arial"/>
                <w:sz w:val="20"/>
                <w:szCs w:val="20"/>
                <w:lang w:val="es-MX"/>
              </w:rPr>
              <w:t xml:space="preserve">Base de datos del </w:t>
            </w:r>
            <w:r>
              <w:rPr>
                <w:rFonts w:ascii="Arial" w:hAnsi="Arial" w:cs="Arial"/>
                <w:sz w:val="20"/>
                <w:szCs w:val="20"/>
                <w:lang w:val="es-MX"/>
              </w:rPr>
              <w:t>e</w:t>
            </w:r>
            <w:r w:rsidRPr="005E20DF">
              <w:rPr>
                <w:rFonts w:ascii="Arial" w:hAnsi="Arial" w:cs="Arial"/>
                <w:sz w:val="20"/>
                <w:szCs w:val="20"/>
                <w:lang w:val="es-MX"/>
              </w:rPr>
              <w:t>stado de las unidades productoras en el marco del SNPMGI</w:t>
            </w:r>
            <w:r w:rsidR="00E03DE1">
              <w:rPr>
                <w:rFonts w:ascii="Arial" w:hAnsi="Arial" w:cs="Arial"/>
                <w:sz w:val="20"/>
                <w:szCs w:val="20"/>
                <w:lang w:val="es-MX"/>
              </w:rPr>
              <w:t>.</w:t>
            </w:r>
            <w:r w:rsidR="00E03DE1">
              <w:rPr>
                <w:rFonts w:ascii="Arial" w:hAnsi="Arial" w:cs="Arial"/>
                <w:sz w:val="20"/>
                <w:szCs w:val="20"/>
              </w:rPr>
              <w:t xml:space="preserve"> S</w:t>
            </w:r>
            <w:r w:rsidR="00917BC3" w:rsidRPr="001D33A5">
              <w:rPr>
                <w:rFonts w:ascii="Arial" w:hAnsi="Arial" w:cs="Arial"/>
                <w:sz w:val="20"/>
                <w:szCs w:val="20"/>
              </w:rPr>
              <w:t>i la inversión cumple de manera simultánea con todas las condiciones asociadas al criterio, la estimación del estado</w:t>
            </w:r>
            <w:r w:rsidR="00917BC3">
              <w:rPr>
                <w:rFonts w:ascii="Arial" w:hAnsi="Arial" w:cs="Arial"/>
                <w:sz w:val="20"/>
                <w:szCs w:val="20"/>
              </w:rPr>
              <w:t xml:space="preserve"> situacional</w:t>
            </w:r>
            <w:r w:rsidR="00917BC3" w:rsidRPr="001D33A5">
              <w:rPr>
                <w:rFonts w:ascii="Arial" w:hAnsi="Arial" w:cs="Arial"/>
                <w:sz w:val="20"/>
                <w:szCs w:val="20"/>
              </w:rPr>
              <w:t xml:space="preserve"> de la</w:t>
            </w:r>
            <w:r w:rsidR="00917BC3">
              <w:rPr>
                <w:rFonts w:ascii="Arial" w:hAnsi="Arial" w:cs="Arial"/>
                <w:sz w:val="20"/>
                <w:szCs w:val="20"/>
              </w:rPr>
              <w:t xml:space="preserve"> instalación educativa</w:t>
            </w:r>
            <w:r w:rsidR="00917BC3" w:rsidRPr="001D33A5">
              <w:rPr>
                <w:rFonts w:ascii="Arial" w:hAnsi="Arial" w:cs="Arial"/>
                <w:sz w:val="20"/>
                <w:szCs w:val="20"/>
              </w:rPr>
              <w:t xml:space="preserve"> puede ser adecuado o inadecuado. </w:t>
            </w:r>
          </w:p>
          <w:p w14:paraId="3F324770" w14:textId="77777777" w:rsidR="00281C58" w:rsidRPr="001D33A5" w:rsidRDefault="00281C58" w:rsidP="00281C58">
            <w:pPr>
              <w:pStyle w:val="Prrafodelista"/>
              <w:ind w:left="873"/>
              <w:jc w:val="both"/>
              <w:rPr>
                <w:rFonts w:ascii="Arial" w:hAnsi="Arial" w:cs="Arial"/>
                <w:sz w:val="20"/>
                <w:szCs w:val="20"/>
              </w:rPr>
            </w:pPr>
          </w:p>
          <w:p w14:paraId="25265982" w14:textId="77777777" w:rsidR="00917BC3" w:rsidRPr="001D33A5" w:rsidRDefault="00917BC3" w:rsidP="001D33A5">
            <w:pPr>
              <w:jc w:val="both"/>
              <w:rPr>
                <w:rFonts w:ascii="Arial" w:hAnsi="Arial" w:cs="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917BC3" w:rsidRPr="001D33A5" w14:paraId="49547CC0" w14:textId="77777777" w:rsidTr="00362FAA">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B4494EF" w14:textId="77777777" w:rsidR="00917BC3" w:rsidRPr="001D33A5" w:rsidRDefault="00917BC3" w:rsidP="006B6A86">
                  <w:pPr>
                    <w:spacing w:after="0" w:line="240" w:lineRule="auto"/>
                    <w:jc w:val="center"/>
                    <w:rPr>
                      <w:rFonts w:ascii="Arial" w:eastAsia="Times New Roman" w:hAnsi="Arial" w:cs="Arial"/>
                      <w:b/>
                      <w:bCs/>
                      <w:color w:val="000000"/>
                      <w:sz w:val="20"/>
                      <w:szCs w:val="20"/>
                      <w:lang w:eastAsia="es-PE"/>
                    </w:rPr>
                  </w:pPr>
                  <w:r w:rsidRPr="001D33A5">
                    <w:rPr>
                      <w:rFonts w:ascii="Arial" w:eastAsia="Times New Roman" w:hAnsi="Arial" w:cs="Arial"/>
                      <w:b/>
                      <w:bCs/>
                      <w:color w:val="000000"/>
                      <w:sz w:val="20"/>
                      <w:szCs w:val="20"/>
                      <w:lang w:eastAsia="es-PE"/>
                    </w:rPr>
                    <w:lastRenderedPageBreak/>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21128452" w14:textId="77777777" w:rsidR="00917BC3" w:rsidRPr="001D33A5" w:rsidRDefault="00917BC3" w:rsidP="006B6A86">
                  <w:pPr>
                    <w:spacing w:after="0" w:line="240" w:lineRule="auto"/>
                    <w:jc w:val="center"/>
                    <w:rPr>
                      <w:rFonts w:ascii="Arial" w:eastAsia="Times New Roman" w:hAnsi="Arial" w:cs="Arial"/>
                      <w:b/>
                      <w:bCs/>
                      <w:color w:val="000000"/>
                      <w:sz w:val="20"/>
                      <w:szCs w:val="20"/>
                      <w:lang w:eastAsia="es-PE"/>
                    </w:rPr>
                  </w:pPr>
                  <w:r w:rsidRPr="001D33A5">
                    <w:rPr>
                      <w:rFonts w:ascii="Arial" w:eastAsia="Times New Roman" w:hAnsi="Arial" w:cs="Arial"/>
                      <w:b/>
                      <w:bCs/>
                      <w:color w:val="000000"/>
                      <w:sz w:val="20"/>
                      <w:szCs w:val="20"/>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5E6AFC0E" w14:textId="5AD6DBE8" w:rsidR="00917BC3" w:rsidRPr="001D33A5" w:rsidRDefault="00917BC3" w:rsidP="006B6A86">
                  <w:pPr>
                    <w:spacing w:after="0" w:line="240" w:lineRule="auto"/>
                    <w:jc w:val="center"/>
                    <w:rPr>
                      <w:rFonts w:ascii="Arial" w:eastAsia="Times New Roman" w:hAnsi="Arial" w:cs="Arial"/>
                      <w:b/>
                      <w:bCs/>
                      <w:color w:val="000000"/>
                      <w:sz w:val="20"/>
                      <w:szCs w:val="20"/>
                      <w:lang w:eastAsia="es-PE"/>
                    </w:rPr>
                  </w:pPr>
                  <w:r w:rsidRPr="001D33A5">
                    <w:rPr>
                      <w:rFonts w:ascii="Arial" w:eastAsia="Times New Roman" w:hAnsi="Arial" w:cs="Arial"/>
                      <w:b/>
                      <w:bCs/>
                      <w:color w:val="000000"/>
                      <w:sz w:val="20"/>
                      <w:szCs w:val="20"/>
                      <w:lang w:eastAsia="es-PE"/>
                    </w:rPr>
                    <w:t>Estado de la</w:t>
                  </w:r>
                  <w:r>
                    <w:rPr>
                      <w:rFonts w:ascii="Arial" w:eastAsia="Times New Roman" w:hAnsi="Arial" w:cs="Arial"/>
                      <w:b/>
                      <w:bCs/>
                      <w:color w:val="000000"/>
                      <w:sz w:val="20"/>
                      <w:szCs w:val="20"/>
                      <w:lang w:eastAsia="es-PE"/>
                    </w:rPr>
                    <w:t xml:space="preserve"> instalación educativa</w:t>
                  </w:r>
                  <w:r w:rsidRPr="001D33A5">
                    <w:rPr>
                      <w:rFonts w:ascii="Arial" w:eastAsia="Times New Roman" w:hAnsi="Arial" w:cs="Arial"/>
                      <w:b/>
                      <w:bCs/>
                      <w:color w:val="000000"/>
                      <w:sz w:val="20"/>
                      <w:szCs w:val="20"/>
                      <w:lang w:eastAsia="es-PE"/>
                    </w:rPr>
                    <w:t xml:space="preserve"> asociada a la inversión analizada</w:t>
                  </w:r>
                </w:p>
              </w:tc>
            </w:tr>
            <w:tr w:rsidR="00917BC3" w:rsidRPr="001D33A5" w14:paraId="4948E37C" w14:textId="77777777" w:rsidTr="00362FAA">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942BF85" w14:textId="08140020" w:rsidR="00917BC3" w:rsidRPr="001D33A5" w:rsidRDefault="00917BC3" w:rsidP="006B6A86">
                  <w:pPr>
                    <w:spacing w:after="0" w:line="240" w:lineRule="auto"/>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 xml:space="preserve">Criterio para </w:t>
                  </w:r>
                  <w:r>
                    <w:rPr>
                      <w:rFonts w:ascii="Arial" w:eastAsia="Times New Roman" w:hAnsi="Arial" w:cs="Arial"/>
                      <w:color w:val="000000"/>
                      <w:sz w:val="20"/>
                      <w:szCs w:val="20"/>
                      <w:lang w:eastAsia="es-PE"/>
                    </w:rPr>
                    <w:t>e</w:t>
                  </w:r>
                  <w:r w:rsidRPr="001D33A5">
                    <w:rPr>
                      <w:rFonts w:ascii="Arial" w:eastAsia="Times New Roman" w:hAnsi="Arial" w:cs="Arial"/>
                      <w:color w:val="000000"/>
                      <w:sz w:val="20"/>
                      <w:szCs w:val="20"/>
                      <w:lang w:eastAsia="es-PE"/>
                    </w:rPr>
                    <w:t xml:space="preserve">stimar el </w:t>
                  </w:r>
                  <w:r>
                    <w:rPr>
                      <w:rFonts w:ascii="Arial" w:eastAsia="Times New Roman" w:hAnsi="Arial" w:cs="Arial"/>
                      <w:color w:val="000000"/>
                      <w:sz w:val="20"/>
                      <w:szCs w:val="20"/>
                      <w:lang w:eastAsia="es-PE"/>
                    </w:rPr>
                    <w:t>e</w:t>
                  </w:r>
                  <w:r w:rsidRPr="001D33A5">
                    <w:rPr>
                      <w:rFonts w:ascii="Arial" w:eastAsia="Times New Roman" w:hAnsi="Arial" w:cs="Arial"/>
                      <w:color w:val="000000"/>
                      <w:sz w:val="20"/>
                      <w:szCs w:val="20"/>
                      <w:lang w:eastAsia="es-PE"/>
                    </w:rPr>
                    <w:t xml:space="preserve">stado de las </w:t>
                  </w:r>
                  <w:r>
                    <w:rPr>
                      <w:rFonts w:ascii="Arial" w:eastAsia="Times New Roman" w:hAnsi="Arial" w:cs="Arial"/>
                      <w:color w:val="000000"/>
                      <w:sz w:val="20"/>
                      <w:szCs w:val="20"/>
                      <w:lang w:eastAsia="es-PE"/>
                    </w:rPr>
                    <w:t>Instalaciones educativas 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20BA2F21" w14:textId="7F2F9C76" w:rsidR="00917BC3" w:rsidRPr="001D33A5" w:rsidRDefault="00917BC3" w:rsidP="006B6A86">
                  <w:pPr>
                    <w:spacing w:after="0" w:line="240" w:lineRule="auto"/>
                    <w:jc w:val="both"/>
                    <w:rPr>
                      <w:rFonts w:ascii="Arial" w:eastAsia="Times New Roman" w:hAnsi="Arial" w:cs="Arial"/>
                      <w:color w:val="000000"/>
                      <w:sz w:val="20"/>
                      <w:szCs w:val="20"/>
                      <w:lang w:eastAsia="es-PE"/>
                    </w:rPr>
                  </w:pPr>
                  <w:r w:rsidRPr="001D33A5">
                    <w:rPr>
                      <w:rFonts w:ascii="Arial" w:eastAsia="Times New Roman" w:hAnsi="Arial" w:cs="Arial"/>
                      <w:b/>
                      <w:bCs/>
                      <w:color w:val="000000"/>
                      <w:sz w:val="20"/>
                      <w:szCs w:val="20"/>
                      <w:lang w:eastAsia="es-PE"/>
                    </w:rPr>
                    <w:t>Condición N º 1</w:t>
                  </w:r>
                  <w:r w:rsidRPr="001D33A5">
                    <w:rPr>
                      <w:rFonts w:ascii="Arial" w:eastAsia="Times New Roman" w:hAnsi="Arial" w:cs="Arial"/>
                      <w:color w:val="000000"/>
                      <w:sz w:val="20"/>
                      <w:szCs w:val="20"/>
                      <w:lang w:eastAsia="es-PE"/>
                    </w:rPr>
                    <w:t>: La inversión analizada</w:t>
                  </w:r>
                  <w:r w:rsidRPr="004B3BDE">
                    <w:rPr>
                      <w:rFonts w:ascii="Arial" w:eastAsia="Times New Roman" w:hAnsi="Arial" w:cs="Arial"/>
                      <w:color w:val="000000"/>
                      <w:sz w:val="20"/>
                      <w:szCs w:val="20"/>
                      <w:lang w:eastAsia="es-PE"/>
                    </w:rPr>
                    <w:t>, asociada a la instalación educativa</w:t>
                  </w:r>
                  <w:r>
                    <w:rPr>
                      <w:rFonts w:ascii="Arial" w:eastAsia="Times New Roman" w:hAnsi="Arial" w:cs="Arial"/>
                      <w:color w:val="000000"/>
                      <w:sz w:val="20"/>
                      <w:szCs w:val="20"/>
                      <w:lang w:eastAsia="es-PE"/>
                    </w:rPr>
                    <w:t>,</w:t>
                  </w:r>
                  <w:r w:rsidRPr="001D33A5">
                    <w:rPr>
                      <w:rFonts w:ascii="Arial" w:eastAsia="Times New Roman" w:hAnsi="Arial" w:cs="Arial"/>
                      <w:color w:val="000000"/>
                      <w:sz w:val="20"/>
                      <w:szCs w:val="20"/>
                      <w:lang w:eastAsia="es-PE"/>
                    </w:rPr>
                    <w:t xml:space="preserve"> se encuentra en la fase de “Formulación y Evaluación” o “Ejecución”.</w:t>
                  </w:r>
                  <w:r>
                    <w:rPr>
                      <w:rStyle w:val="Refdenotaalpie"/>
                      <w:rFonts w:ascii="Arial" w:eastAsia="Times New Roman" w:hAnsi="Arial" w:cs="Arial"/>
                      <w:color w:val="000000"/>
                      <w:sz w:val="16"/>
                      <w:lang w:eastAsia="es-PE"/>
                    </w:rPr>
                    <w:t xml:space="preserve"> </w:t>
                  </w:r>
                  <w:r>
                    <w:rPr>
                      <w:rStyle w:val="Refdenotaalpie"/>
                      <w:rFonts w:ascii="Arial" w:eastAsia="Times New Roman" w:hAnsi="Arial" w:cs="Arial"/>
                      <w:color w:val="000000"/>
                      <w:sz w:val="16"/>
                      <w:lang w:eastAsia="es-PE"/>
                    </w:rPr>
                    <w:footnoteReference w:id="12"/>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1AEC85A" w14:textId="77777777" w:rsidR="00917BC3" w:rsidRPr="001D33A5" w:rsidRDefault="00917BC3" w:rsidP="006B6A86">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68258756" w14:textId="77777777" w:rsidTr="00362FAA">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C4BEE22"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7FB38E9" w14:textId="52B84CB9" w:rsidR="00917BC3" w:rsidRPr="001D33A5" w:rsidRDefault="00917BC3" w:rsidP="006B6A86">
                  <w:pPr>
                    <w:spacing w:after="0" w:line="240" w:lineRule="auto"/>
                    <w:jc w:val="both"/>
                    <w:rPr>
                      <w:rFonts w:ascii="Arial" w:eastAsia="Times New Roman" w:hAnsi="Arial" w:cs="Arial"/>
                      <w:color w:val="000000"/>
                      <w:sz w:val="20"/>
                      <w:szCs w:val="20"/>
                      <w:lang w:eastAsia="es-PE"/>
                    </w:rPr>
                  </w:pPr>
                  <w:r w:rsidRPr="001D33A5">
                    <w:rPr>
                      <w:rFonts w:ascii="Arial" w:eastAsia="Times New Roman" w:hAnsi="Arial" w:cs="Arial"/>
                      <w:b/>
                      <w:bCs/>
                      <w:color w:val="000000"/>
                      <w:sz w:val="20"/>
                      <w:szCs w:val="20"/>
                      <w:lang w:eastAsia="es-PE"/>
                    </w:rPr>
                    <w:t>Condición N º 2:</w:t>
                  </w:r>
                  <w:r w:rsidRPr="001D33A5">
                    <w:rPr>
                      <w:rFonts w:ascii="Arial" w:eastAsia="Times New Roman" w:hAnsi="Arial" w:cs="Arial"/>
                      <w:color w:val="000000"/>
                      <w:sz w:val="20"/>
                      <w:szCs w:val="20"/>
                      <w:lang w:eastAsia="es-PE"/>
                    </w:rPr>
                    <w:t xml:space="preserve"> La inversión analizada</w:t>
                  </w:r>
                  <w:r w:rsidRPr="004B3BDE">
                    <w:rPr>
                      <w:rFonts w:ascii="Arial" w:eastAsia="Times New Roman" w:hAnsi="Arial" w:cs="Arial"/>
                      <w:color w:val="000000"/>
                      <w:sz w:val="20"/>
                      <w:szCs w:val="20"/>
                      <w:lang w:eastAsia="es-PE"/>
                    </w:rPr>
                    <w:t>, asociada a la instalación educativa</w:t>
                  </w:r>
                  <w:r>
                    <w:rPr>
                      <w:rFonts w:ascii="Arial" w:eastAsia="Times New Roman" w:hAnsi="Arial" w:cs="Arial"/>
                      <w:color w:val="000000"/>
                      <w:sz w:val="20"/>
                      <w:szCs w:val="20"/>
                      <w:lang w:eastAsia="es-PE"/>
                    </w:rPr>
                    <w:t>,</w:t>
                  </w:r>
                  <w:r w:rsidRPr="001D33A5">
                    <w:rPr>
                      <w:rFonts w:ascii="Arial" w:eastAsia="Times New Roman" w:hAnsi="Arial" w:cs="Arial"/>
                      <w:color w:val="000000"/>
                      <w:sz w:val="20"/>
                      <w:szCs w:val="20"/>
                      <w:lang w:eastAsia="es-PE"/>
                    </w:rPr>
                    <w:t xml:space="preserve"> es una inversión cuyo estado es activo</w:t>
                  </w:r>
                  <w:r w:rsidRPr="007C7A60">
                    <w:rPr>
                      <w:rFonts w:ascii="Arial" w:eastAsia="Times New Roman" w:hAnsi="Arial" w:cs="Arial"/>
                      <w:color w:val="000000"/>
                      <w:sz w:val="20"/>
                      <w:szCs w:val="20"/>
                      <w:lang w:eastAsia="es-PE"/>
                    </w:rPr>
                    <w:t>; y no se encuentra culminad</w:t>
                  </w:r>
                  <w:r>
                    <w:rPr>
                      <w:rFonts w:ascii="Arial" w:eastAsia="Times New Roman" w:hAnsi="Arial" w:cs="Arial"/>
                      <w:color w:val="000000"/>
                      <w:sz w:val="20"/>
                      <w:szCs w:val="20"/>
                      <w:lang w:eastAsia="es-PE"/>
                    </w:rPr>
                    <w:t>a</w:t>
                  </w:r>
                  <w:r w:rsidRPr="001D33A5">
                    <w:rPr>
                      <w:rFonts w:ascii="Arial" w:eastAsia="Times New Roman" w:hAnsi="Arial" w:cs="Arial"/>
                      <w:color w:val="000000"/>
                      <w:sz w:val="20"/>
                      <w:szCs w:val="20"/>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5BC32313"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r>
            <w:tr w:rsidR="00917BC3" w:rsidRPr="001D33A5" w14:paraId="55577A92" w14:textId="77777777" w:rsidTr="00362FAA">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02C5DC9E" w14:textId="24720693" w:rsidR="00917BC3" w:rsidRPr="001D33A5" w:rsidRDefault="00917BC3" w:rsidP="006B6A86">
                  <w:pPr>
                    <w:spacing w:after="0" w:line="240" w:lineRule="auto"/>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 xml:space="preserve">Criterio para </w:t>
                  </w:r>
                  <w:r>
                    <w:rPr>
                      <w:rFonts w:ascii="Arial" w:eastAsia="Times New Roman" w:hAnsi="Arial" w:cs="Arial"/>
                      <w:color w:val="000000"/>
                      <w:sz w:val="20"/>
                      <w:szCs w:val="20"/>
                      <w:lang w:eastAsia="es-PE"/>
                    </w:rPr>
                    <w:t>e</w:t>
                  </w:r>
                  <w:r w:rsidRPr="001D33A5">
                    <w:rPr>
                      <w:rFonts w:ascii="Arial" w:eastAsia="Times New Roman" w:hAnsi="Arial" w:cs="Arial"/>
                      <w:color w:val="000000"/>
                      <w:sz w:val="20"/>
                      <w:szCs w:val="20"/>
                      <w:lang w:eastAsia="es-PE"/>
                    </w:rPr>
                    <w:t xml:space="preserve">stimar el </w:t>
                  </w:r>
                  <w:r>
                    <w:rPr>
                      <w:rFonts w:ascii="Arial" w:eastAsia="Times New Roman" w:hAnsi="Arial" w:cs="Arial"/>
                      <w:color w:val="000000"/>
                      <w:sz w:val="20"/>
                      <w:szCs w:val="20"/>
                      <w:lang w:eastAsia="es-PE"/>
                    </w:rPr>
                    <w:t>e</w:t>
                  </w:r>
                  <w:r w:rsidRPr="001D33A5">
                    <w:rPr>
                      <w:rFonts w:ascii="Arial" w:eastAsia="Times New Roman" w:hAnsi="Arial" w:cs="Arial"/>
                      <w:color w:val="000000"/>
                      <w:sz w:val="20"/>
                      <w:szCs w:val="20"/>
                      <w:lang w:eastAsia="es-PE"/>
                    </w:rPr>
                    <w:t xml:space="preserve">stado de las </w:t>
                  </w:r>
                  <w:r>
                    <w:rPr>
                      <w:rFonts w:ascii="Arial" w:eastAsia="Times New Roman" w:hAnsi="Arial" w:cs="Arial"/>
                      <w:color w:val="000000"/>
                      <w:sz w:val="20"/>
                      <w:szCs w:val="20"/>
                      <w:lang w:eastAsia="es-PE"/>
                    </w:rPr>
                    <w:t>Instalaciones educativas</w:t>
                  </w:r>
                  <w:r w:rsidRPr="001D33A5">
                    <w:rPr>
                      <w:rFonts w:ascii="Arial" w:eastAsia="Times New Roman" w:hAnsi="Arial" w:cs="Arial"/>
                      <w:color w:val="000000"/>
                      <w:sz w:val="20"/>
                      <w:szCs w:val="20"/>
                      <w:lang w:eastAsia="es-PE"/>
                    </w:rPr>
                    <w:t xml:space="preserve"> </w:t>
                  </w:r>
                  <w:r>
                    <w:rPr>
                      <w:rFonts w:ascii="Arial" w:eastAsia="Times New Roman" w:hAnsi="Arial" w:cs="Arial"/>
                      <w:color w:val="000000"/>
                      <w:sz w:val="20"/>
                      <w:szCs w:val="20"/>
                      <w:lang w:eastAsia="es-PE"/>
                    </w:rPr>
                    <w:t>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7BAD3BDD" w14:textId="4572F444" w:rsidR="00917BC3" w:rsidRPr="001D33A5" w:rsidRDefault="00917BC3" w:rsidP="006B6A86">
                  <w:pPr>
                    <w:spacing w:after="0" w:line="240" w:lineRule="auto"/>
                    <w:jc w:val="both"/>
                    <w:rPr>
                      <w:rFonts w:ascii="Arial" w:eastAsia="Times New Roman" w:hAnsi="Arial" w:cs="Arial"/>
                      <w:color w:val="000000"/>
                      <w:sz w:val="20"/>
                      <w:szCs w:val="20"/>
                      <w:lang w:eastAsia="es-PE"/>
                    </w:rPr>
                  </w:pPr>
                  <w:r w:rsidRPr="001D33A5">
                    <w:rPr>
                      <w:rFonts w:ascii="Arial" w:eastAsia="Times New Roman" w:hAnsi="Arial" w:cs="Arial"/>
                      <w:b/>
                      <w:bCs/>
                      <w:color w:val="000000"/>
                      <w:sz w:val="20"/>
                      <w:szCs w:val="20"/>
                      <w:lang w:eastAsia="es-PE"/>
                    </w:rPr>
                    <w:t>Condición N º 1:</w:t>
                  </w:r>
                  <w:r w:rsidRPr="001D33A5">
                    <w:rPr>
                      <w:rFonts w:ascii="Arial" w:eastAsia="Times New Roman" w:hAnsi="Arial" w:cs="Arial"/>
                      <w:color w:val="000000"/>
                      <w:sz w:val="20"/>
                      <w:szCs w:val="20"/>
                      <w:lang w:eastAsia="es-PE"/>
                    </w:rPr>
                    <w:t xml:space="preserve"> La inversión analizada</w:t>
                  </w:r>
                  <w:r w:rsidRPr="004B3BDE">
                    <w:rPr>
                      <w:rFonts w:ascii="Arial" w:eastAsia="Times New Roman" w:hAnsi="Arial" w:cs="Arial"/>
                      <w:color w:val="000000"/>
                      <w:sz w:val="20"/>
                      <w:szCs w:val="20"/>
                      <w:lang w:eastAsia="es-PE"/>
                    </w:rPr>
                    <w:t>, asociada a la instalación educativa</w:t>
                  </w:r>
                  <w:r>
                    <w:rPr>
                      <w:rFonts w:ascii="Arial" w:eastAsia="Times New Roman" w:hAnsi="Arial" w:cs="Arial"/>
                      <w:color w:val="000000"/>
                      <w:sz w:val="20"/>
                      <w:szCs w:val="20"/>
                      <w:lang w:eastAsia="es-PE"/>
                    </w:rPr>
                    <w:t>,</w:t>
                  </w:r>
                  <w:r w:rsidRPr="001D33A5">
                    <w:rPr>
                      <w:rFonts w:ascii="Arial" w:eastAsia="Times New Roman" w:hAnsi="Arial" w:cs="Arial"/>
                      <w:color w:val="000000"/>
                      <w:sz w:val="20"/>
                      <w:szCs w:val="20"/>
                      <w:lang w:eastAsia="es-PE"/>
                    </w:rPr>
                    <w:t xml:space="preserve"> tuvo una intervención integral en la </w:t>
                  </w:r>
                  <w:r>
                    <w:rPr>
                      <w:rFonts w:ascii="Arial" w:eastAsia="Times New Roman" w:hAnsi="Arial" w:cs="Arial"/>
                      <w:color w:val="000000"/>
                      <w:sz w:val="20"/>
                      <w:szCs w:val="20"/>
                      <w:lang w:eastAsia="es-PE"/>
                    </w:rPr>
                    <w:t>instalación educativa</w:t>
                  </w:r>
                  <w:r w:rsidRPr="001D33A5">
                    <w:rPr>
                      <w:rFonts w:ascii="Arial" w:eastAsia="Times New Roman" w:hAnsi="Arial" w:cs="Arial"/>
                      <w:color w:val="000000"/>
                      <w:sz w:val="20"/>
                      <w:szCs w:val="20"/>
                      <w:lang w:eastAsia="es-PE"/>
                    </w:rPr>
                    <w:t>.</w:t>
                  </w:r>
                  <w:r>
                    <w:rPr>
                      <w:rStyle w:val="Refdenotaalpie"/>
                      <w:rFonts w:ascii="Arial" w:eastAsia="Times New Roman" w:hAnsi="Arial" w:cs="Arial"/>
                      <w:color w:val="000000"/>
                      <w:sz w:val="16"/>
                      <w:lang w:eastAsia="es-PE"/>
                    </w:rPr>
                    <w:t xml:space="preserve"> </w:t>
                  </w:r>
                  <w:r>
                    <w:rPr>
                      <w:rStyle w:val="Refdenotaalpie"/>
                      <w:rFonts w:ascii="Arial" w:eastAsia="Times New Roman" w:hAnsi="Arial" w:cs="Arial"/>
                      <w:color w:val="000000"/>
                      <w:sz w:val="16"/>
                      <w:lang w:eastAsia="es-PE"/>
                    </w:rPr>
                    <w:footnoteReference w:id="13"/>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FDE7C68" w14:textId="77777777" w:rsidR="00917BC3" w:rsidRPr="001D33A5" w:rsidRDefault="00917BC3" w:rsidP="006B6A86">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4E116D57" w14:textId="77777777" w:rsidTr="00362FAA">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806163F"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3C90353F" w14:textId="329F3470" w:rsidR="00917BC3" w:rsidRPr="001D33A5" w:rsidRDefault="00917BC3" w:rsidP="006B6A86">
                  <w:pPr>
                    <w:spacing w:after="0" w:line="240" w:lineRule="auto"/>
                    <w:jc w:val="both"/>
                    <w:rPr>
                      <w:rFonts w:ascii="Arial" w:eastAsia="Times New Roman" w:hAnsi="Arial" w:cs="Arial"/>
                      <w:color w:val="000000"/>
                      <w:sz w:val="20"/>
                      <w:szCs w:val="20"/>
                      <w:lang w:eastAsia="es-PE"/>
                    </w:rPr>
                  </w:pPr>
                  <w:r w:rsidRPr="001D33A5">
                    <w:rPr>
                      <w:rFonts w:ascii="Arial" w:eastAsia="Times New Roman" w:hAnsi="Arial" w:cs="Arial"/>
                      <w:b/>
                      <w:bCs/>
                      <w:color w:val="000000"/>
                      <w:sz w:val="20"/>
                      <w:szCs w:val="20"/>
                      <w:lang w:eastAsia="es-PE"/>
                    </w:rPr>
                    <w:t>Condición N º 2:</w:t>
                  </w:r>
                  <w:r w:rsidRPr="001D33A5">
                    <w:rPr>
                      <w:rFonts w:ascii="Arial" w:eastAsia="Times New Roman" w:hAnsi="Arial" w:cs="Arial"/>
                      <w:color w:val="000000"/>
                      <w:sz w:val="20"/>
                      <w:szCs w:val="20"/>
                      <w:lang w:eastAsia="es-PE"/>
                    </w:rPr>
                    <w:t xml:space="preserve"> La inversión analizada</w:t>
                  </w:r>
                  <w:r w:rsidRPr="004B3BDE">
                    <w:rPr>
                      <w:rFonts w:ascii="Arial" w:eastAsia="Times New Roman" w:hAnsi="Arial" w:cs="Arial"/>
                      <w:color w:val="000000"/>
                      <w:sz w:val="20"/>
                      <w:szCs w:val="20"/>
                      <w:lang w:eastAsia="es-PE"/>
                    </w:rPr>
                    <w:t>, asociada a la instalación educativa</w:t>
                  </w:r>
                  <w:r>
                    <w:rPr>
                      <w:rFonts w:ascii="Arial" w:eastAsia="Times New Roman" w:hAnsi="Arial" w:cs="Arial"/>
                      <w:color w:val="000000"/>
                      <w:sz w:val="20"/>
                      <w:szCs w:val="20"/>
                      <w:lang w:eastAsia="es-PE"/>
                    </w:rPr>
                    <w:t>,</w:t>
                  </w:r>
                  <w:r w:rsidRPr="001D33A5">
                    <w:rPr>
                      <w:rFonts w:ascii="Arial" w:eastAsia="Times New Roman" w:hAnsi="Arial" w:cs="Arial"/>
                      <w:color w:val="000000"/>
                      <w:sz w:val="20"/>
                      <w:szCs w:val="20"/>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03577ADF"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r>
            <w:tr w:rsidR="00917BC3" w:rsidRPr="001D33A5" w14:paraId="50901A40" w14:textId="77777777" w:rsidTr="00362FAA">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D9C8284"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847C89C" w14:textId="39C6B46F" w:rsidR="00917BC3" w:rsidRPr="001D33A5" w:rsidRDefault="00917BC3" w:rsidP="006B6A86">
                  <w:pPr>
                    <w:spacing w:after="0" w:line="240" w:lineRule="auto"/>
                    <w:jc w:val="both"/>
                    <w:rPr>
                      <w:rFonts w:ascii="Arial" w:eastAsia="Times New Roman" w:hAnsi="Arial" w:cs="Arial"/>
                      <w:color w:val="000000"/>
                      <w:sz w:val="20"/>
                      <w:szCs w:val="20"/>
                      <w:lang w:eastAsia="es-PE"/>
                    </w:rPr>
                  </w:pPr>
                  <w:r w:rsidRPr="001D33A5">
                    <w:rPr>
                      <w:rFonts w:ascii="Arial" w:eastAsia="Times New Roman" w:hAnsi="Arial" w:cs="Arial"/>
                      <w:b/>
                      <w:bCs/>
                      <w:color w:val="000000"/>
                      <w:sz w:val="20"/>
                      <w:szCs w:val="20"/>
                      <w:lang w:eastAsia="es-PE"/>
                    </w:rPr>
                    <w:t>Condición N º 3:</w:t>
                  </w:r>
                  <w:r w:rsidRPr="001D33A5">
                    <w:rPr>
                      <w:rFonts w:ascii="Arial" w:eastAsia="Times New Roman" w:hAnsi="Arial" w:cs="Arial"/>
                      <w:color w:val="000000"/>
                      <w:sz w:val="20"/>
                      <w:szCs w:val="20"/>
                      <w:lang w:eastAsia="es-PE"/>
                    </w:rPr>
                    <w:t xml:space="preserve"> La inversión analizada</w:t>
                  </w:r>
                  <w:r w:rsidRPr="004B3BDE">
                    <w:rPr>
                      <w:rFonts w:ascii="Arial" w:eastAsia="Times New Roman" w:hAnsi="Arial" w:cs="Arial"/>
                      <w:color w:val="000000"/>
                      <w:sz w:val="20"/>
                      <w:szCs w:val="20"/>
                      <w:lang w:eastAsia="es-PE"/>
                    </w:rPr>
                    <w:t>, asociada a la instalación educativa</w:t>
                  </w:r>
                  <w:r>
                    <w:rPr>
                      <w:rFonts w:ascii="Arial" w:eastAsia="Times New Roman" w:hAnsi="Arial" w:cs="Arial"/>
                      <w:color w:val="000000"/>
                      <w:sz w:val="20"/>
                      <w:szCs w:val="20"/>
                      <w:lang w:eastAsia="es-PE"/>
                    </w:rPr>
                    <w:t>,</w:t>
                  </w:r>
                  <w:r w:rsidRPr="001D33A5">
                    <w:rPr>
                      <w:rFonts w:ascii="Arial" w:eastAsia="Times New Roman" w:hAnsi="Arial" w:cs="Arial"/>
                      <w:color w:val="000000"/>
                      <w:sz w:val="20"/>
                      <w:szCs w:val="20"/>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4E7ED87" w14:textId="77777777" w:rsidR="00917BC3" w:rsidRPr="001D33A5" w:rsidRDefault="00917BC3" w:rsidP="006B6A86">
                  <w:pPr>
                    <w:spacing w:after="0" w:line="240" w:lineRule="auto"/>
                    <w:rPr>
                      <w:rFonts w:ascii="Arial" w:eastAsia="Times New Roman" w:hAnsi="Arial" w:cs="Arial"/>
                      <w:color w:val="000000"/>
                      <w:sz w:val="20"/>
                      <w:szCs w:val="20"/>
                      <w:lang w:eastAsia="es-PE"/>
                    </w:rPr>
                  </w:pPr>
                </w:p>
              </w:tc>
            </w:tr>
          </w:tbl>
          <w:p w14:paraId="434BEAA8" w14:textId="77777777" w:rsidR="00917BC3" w:rsidRDefault="00917BC3" w:rsidP="001D33A5">
            <w:pPr>
              <w:jc w:val="both"/>
              <w:rPr>
                <w:rFonts w:ascii="Arial" w:hAnsi="Arial" w:cs="Arial"/>
                <w:sz w:val="20"/>
                <w:szCs w:val="20"/>
              </w:rPr>
            </w:pPr>
          </w:p>
          <w:p w14:paraId="765C6202" w14:textId="77777777" w:rsidR="00917BC3" w:rsidRPr="00D17252" w:rsidRDefault="00917BC3" w:rsidP="007A7E67">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66B2A365" w14:textId="77777777" w:rsidR="00917BC3" w:rsidRDefault="00917BC3" w:rsidP="001D33A5">
            <w:pPr>
              <w:jc w:val="both"/>
              <w:rPr>
                <w:rFonts w:ascii="Arial" w:hAnsi="Arial" w:cs="Arial"/>
                <w:sz w:val="20"/>
                <w:szCs w:val="20"/>
              </w:rPr>
            </w:pPr>
          </w:p>
          <w:p w14:paraId="6198C450" w14:textId="77777777" w:rsidR="00917BC3" w:rsidRPr="001D33A5" w:rsidRDefault="00917BC3" w:rsidP="001D33A5">
            <w:pPr>
              <w:jc w:val="both"/>
              <w:rPr>
                <w:rFonts w:ascii="Arial" w:hAnsi="Arial" w:cs="Arial"/>
                <w:sz w:val="20"/>
                <w:szCs w:val="20"/>
              </w:rPr>
            </w:pPr>
          </w:p>
          <w:p w14:paraId="52760DF7" w14:textId="6A1E2ED0" w:rsidR="00917BC3" w:rsidRPr="001D33A5" w:rsidRDefault="00917BC3" w:rsidP="006B6A86">
            <w:pPr>
              <w:pStyle w:val="Prrafodelista"/>
              <w:numPr>
                <w:ilvl w:val="1"/>
                <w:numId w:val="2"/>
              </w:numPr>
              <w:ind w:left="873"/>
              <w:jc w:val="both"/>
              <w:rPr>
                <w:rFonts w:ascii="Arial" w:hAnsi="Arial" w:cs="Arial"/>
                <w:sz w:val="20"/>
                <w:szCs w:val="20"/>
              </w:rPr>
            </w:pPr>
            <w:r w:rsidRPr="001D33A5">
              <w:rPr>
                <w:rFonts w:ascii="Arial" w:hAnsi="Arial" w:cs="Arial"/>
                <w:sz w:val="20"/>
                <w:szCs w:val="20"/>
              </w:rPr>
              <w:t>Según la base de datos de</w:t>
            </w:r>
            <w:r>
              <w:rPr>
                <w:rFonts w:ascii="Arial" w:hAnsi="Arial" w:cs="Arial"/>
                <w:sz w:val="20"/>
                <w:szCs w:val="20"/>
              </w:rPr>
              <w:t xml:space="preserve">l estado </w:t>
            </w:r>
            <w:r w:rsidRPr="001D33A5">
              <w:rPr>
                <w:rFonts w:ascii="Arial" w:hAnsi="Arial" w:cs="Arial"/>
                <w:sz w:val="20"/>
                <w:szCs w:val="20"/>
              </w:rPr>
              <w:t xml:space="preserve">de </w:t>
            </w:r>
            <w:r>
              <w:rPr>
                <w:rFonts w:ascii="Arial" w:hAnsi="Arial" w:cs="Arial"/>
                <w:sz w:val="20"/>
                <w:szCs w:val="20"/>
              </w:rPr>
              <w:t>la i</w:t>
            </w:r>
            <w:r w:rsidRPr="001D33A5">
              <w:rPr>
                <w:rFonts w:ascii="Arial" w:hAnsi="Arial" w:cs="Arial"/>
                <w:sz w:val="20"/>
                <w:szCs w:val="20"/>
              </w:rPr>
              <w:t xml:space="preserve">nfraestructura </w:t>
            </w:r>
            <w:r>
              <w:rPr>
                <w:rFonts w:ascii="Arial" w:hAnsi="Arial" w:cs="Arial"/>
                <w:sz w:val="20"/>
                <w:szCs w:val="20"/>
              </w:rPr>
              <w:t>de los locales educativos de la DIPLAN.</w:t>
            </w:r>
          </w:p>
          <w:p w14:paraId="16029BE4" w14:textId="77777777" w:rsidR="00917BC3" w:rsidRPr="001D33A5" w:rsidRDefault="00917BC3" w:rsidP="001D33A5">
            <w:pPr>
              <w:pStyle w:val="Prrafodelista"/>
              <w:ind w:left="1440"/>
              <w:jc w:val="both"/>
              <w:rPr>
                <w:rFonts w:ascii="Arial" w:hAnsi="Arial" w:cs="Arial"/>
                <w:sz w:val="20"/>
                <w:szCs w:val="20"/>
              </w:rPr>
            </w:pPr>
          </w:p>
          <w:p w14:paraId="7D234786" w14:textId="77777777" w:rsidR="00917BC3" w:rsidRPr="001D33A5" w:rsidRDefault="00917BC3" w:rsidP="001D33A5">
            <w:pPr>
              <w:jc w:val="both"/>
              <w:rPr>
                <w:rFonts w:ascii="Arial" w:hAnsi="Arial" w:cs="Arial"/>
                <w:sz w:val="20"/>
                <w:szCs w:val="20"/>
              </w:rPr>
            </w:pPr>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873"/>
              <w:gridCol w:w="1984"/>
            </w:tblGrid>
            <w:tr w:rsidR="00917BC3" w:rsidRPr="001D33A5" w14:paraId="44E1B518" w14:textId="77777777" w:rsidTr="006B6A86">
              <w:trPr>
                <w:trHeight w:val="283"/>
                <w:jc w:val="center"/>
              </w:trPr>
              <w:tc>
                <w:tcPr>
                  <w:tcW w:w="6873" w:type="dxa"/>
                  <w:shd w:val="clear" w:color="000000" w:fill="BFBFBF"/>
                  <w:vAlign w:val="center"/>
                  <w:hideMark/>
                </w:tcPr>
                <w:p w14:paraId="4D7BEDBE" w14:textId="2E79ADB2" w:rsidR="00917BC3" w:rsidRPr="001D33A5" w:rsidRDefault="00917BC3" w:rsidP="001D33A5">
                  <w:pPr>
                    <w:spacing w:line="240" w:lineRule="auto"/>
                    <w:contextualSpacing/>
                    <w:jc w:val="center"/>
                    <w:rPr>
                      <w:rFonts w:ascii="Arial" w:eastAsia="Times New Roman" w:hAnsi="Arial" w:cs="Arial"/>
                      <w:b/>
                      <w:bCs/>
                      <w:sz w:val="20"/>
                      <w:szCs w:val="20"/>
                      <w:lang w:eastAsia="es-PE"/>
                    </w:rPr>
                  </w:pPr>
                  <w:r w:rsidRPr="001D33A5">
                    <w:rPr>
                      <w:rFonts w:ascii="Arial" w:eastAsia="Times New Roman" w:hAnsi="Arial" w:cs="Arial"/>
                      <w:b/>
                      <w:bCs/>
                      <w:sz w:val="20"/>
                      <w:szCs w:val="20"/>
                      <w:lang w:eastAsia="es-PE"/>
                    </w:rPr>
                    <w:t xml:space="preserve">Diagnóstico o tipo de Intervención por </w:t>
                  </w:r>
                  <w:r>
                    <w:rPr>
                      <w:rFonts w:ascii="Arial" w:eastAsia="Times New Roman" w:hAnsi="Arial" w:cs="Arial"/>
                      <w:b/>
                      <w:bCs/>
                      <w:sz w:val="20"/>
                      <w:szCs w:val="20"/>
                      <w:lang w:eastAsia="es-PE"/>
                    </w:rPr>
                    <w:t>l</w:t>
                  </w:r>
                  <w:r w:rsidRPr="001D33A5">
                    <w:rPr>
                      <w:rFonts w:ascii="Arial" w:eastAsia="Times New Roman" w:hAnsi="Arial" w:cs="Arial"/>
                      <w:b/>
                      <w:bCs/>
                      <w:sz w:val="20"/>
                      <w:szCs w:val="20"/>
                      <w:lang w:eastAsia="es-PE"/>
                    </w:rPr>
                    <w:t xml:space="preserve">ocal educativo o </w:t>
                  </w:r>
                  <w:r>
                    <w:rPr>
                      <w:rFonts w:ascii="Arial" w:eastAsia="Times New Roman" w:hAnsi="Arial" w:cs="Arial"/>
                      <w:b/>
                      <w:bCs/>
                      <w:sz w:val="20"/>
                      <w:szCs w:val="20"/>
                      <w:lang w:eastAsia="es-PE"/>
                    </w:rPr>
                    <w:t>instalación educativa</w:t>
                  </w:r>
                  <w:r w:rsidRPr="001D33A5">
                    <w:rPr>
                      <w:rFonts w:ascii="Arial" w:eastAsia="Times New Roman" w:hAnsi="Arial" w:cs="Arial"/>
                      <w:b/>
                      <w:bCs/>
                      <w:sz w:val="20"/>
                      <w:szCs w:val="20"/>
                      <w:lang w:eastAsia="es-PE"/>
                    </w:rPr>
                    <w:t xml:space="preserve"> según </w:t>
                  </w:r>
                  <w:r>
                    <w:rPr>
                      <w:rFonts w:ascii="Arial" w:eastAsia="Times New Roman" w:hAnsi="Arial" w:cs="Arial"/>
                      <w:b/>
                      <w:bCs/>
                      <w:sz w:val="20"/>
                      <w:szCs w:val="20"/>
                      <w:lang w:eastAsia="es-PE"/>
                    </w:rPr>
                    <w:t>la DIPLAN</w:t>
                  </w:r>
                </w:p>
              </w:tc>
              <w:tc>
                <w:tcPr>
                  <w:tcW w:w="1984" w:type="dxa"/>
                  <w:shd w:val="clear" w:color="000000" w:fill="BFBFBF"/>
                  <w:vAlign w:val="center"/>
                  <w:hideMark/>
                </w:tcPr>
                <w:p w14:paraId="265C7ADA" w14:textId="0D096341" w:rsidR="00917BC3" w:rsidRPr="001D33A5" w:rsidRDefault="00917BC3" w:rsidP="001D33A5">
                  <w:pPr>
                    <w:spacing w:line="240" w:lineRule="auto"/>
                    <w:contextualSpacing/>
                    <w:jc w:val="center"/>
                    <w:rPr>
                      <w:rFonts w:ascii="Arial" w:eastAsia="Times New Roman" w:hAnsi="Arial" w:cs="Arial"/>
                      <w:b/>
                      <w:bCs/>
                      <w:sz w:val="20"/>
                      <w:szCs w:val="20"/>
                      <w:lang w:eastAsia="es-PE"/>
                    </w:rPr>
                  </w:pPr>
                  <w:r w:rsidRPr="001D33A5">
                    <w:rPr>
                      <w:rFonts w:ascii="Arial" w:eastAsia="Times New Roman" w:hAnsi="Arial" w:cs="Arial"/>
                      <w:b/>
                      <w:bCs/>
                      <w:sz w:val="20"/>
                      <w:szCs w:val="20"/>
                      <w:lang w:eastAsia="es-PE"/>
                    </w:rPr>
                    <w:t xml:space="preserve">Estado del local educativo o </w:t>
                  </w:r>
                  <w:r>
                    <w:rPr>
                      <w:rFonts w:ascii="Arial" w:eastAsia="Times New Roman" w:hAnsi="Arial" w:cs="Arial"/>
                      <w:b/>
                      <w:bCs/>
                      <w:sz w:val="20"/>
                      <w:szCs w:val="20"/>
                      <w:lang w:eastAsia="es-PE"/>
                    </w:rPr>
                    <w:t>instalación educativa</w:t>
                  </w:r>
                </w:p>
              </w:tc>
            </w:tr>
            <w:tr w:rsidR="00917BC3" w:rsidRPr="001D33A5" w14:paraId="70F68AEC" w14:textId="77777777" w:rsidTr="006B6A86">
              <w:trPr>
                <w:trHeight w:val="283"/>
                <w:jc w:val="center"/>
              </w:trPr>
              <w:tc>
                <w:tcPr>
                  <w:tcW w:w="6873" w:type="dxa"/>
                  <w:shd w:val="clear" w:color="auto" w:fill="auto"/>
                  <w:noWrap/>
                  <w:vAlign w:val="center"/>
                  <w:hideMark/>
                </w:tcPr>
                <w:p w14:paraId="21ED2087"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Sustitución:</w:t>
                  </w:r>
                  <w:r w:rsidRPr="001D33A5">
                    <w:rPr>
                      <w:rFonts w:ascii="Arial" w:eastAsia="Times New Roman" w:hAnsi="Arial" w:cs="Arial"/>
                      <w:sz w:val="20"/>
                      <w:szCs w:val="20"/>
                      <w:lang w:eastAsia="es-PE"/>
                    </w:rPr>
                    <w:t xml:space="preserve"> Demolición y reconstrucción total o parcial de edificaciones con alto riesgo de colapso.</w:t>
                  </w:r>
                </w:p>
              </w:tc>
              <w:tc>
                <w:tcPr>
                  <w:tcW w:w="1984" w:type="dxa"/>
                  <w:vMerge w:val="restart"/>
                  <w:shd w:val="clear" w:color="auto" w:fill="auto"/>
                  <w:vAlign w:val="center"/>
                  <w:hideMark/>
                </w:tcPr>
                <w:p w14:paraId="2105A779"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r w:rsidRPr="001D33A5">
                    <w:rPr>
                      <w:rFonts w:ascii="Arial" w:eastAsia="Times New Roman" w:hAnsi="Arial" w:cs="Arial"/>
                      <w:sz w:val="20"/>
                      <w:szCs w:val="20"/>
                      <w:lang w:eastAsia="es-PE"/>
                    </w:rPr>
                    <w:t>Inadecuada</w:t>
                  </w:r>
                </w:p>
              </w:tc>
            </w:tr>
            <w:tr w:rsidR="00917BC3" w:rsidRPr="001D33A5" w14:paraId="7C9311E5" w14:textId="77777777" w:rsidTr="006B6A86">
              <w:trPr>
                <w:trHeight w:val="283"/>
                <w:jc w:val="center"/>
              </w:trPr>
              <w:tc>
                <w:tcPr>
                  <w:tcW w:w="6873" w:type="dxa"/>
                  <w:shd w:val="clear" w:color="auto" w:fill="auto"/>
                  <w:noWrap/>
                  <w:vAlign w:val="center"/>
                </w:tcPr>
                <w:p w14:paraId="3D3C61E4"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Reforzamiento Estructural:</w:t>
                  </w:r>
                  <w:r w:rsidRPr="001D33A5">
                    <w:rPr>
                      <w:rFonts w:ascii="Arial" w:eastAsia="Times New Roman" w:hAnsi="Arial" w:cs="Arial"/>
                      <w:sz w:val="20"/>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1984" w:type="dxa"/>
                  <w:vMerge/>
                  <w:vAlign w:val="center"/>
                </w:tcPr>
                <w:p w14:paraId="50843FDE"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06886752" w14:textId="77777777" w:rsidTr="006B6A86">
              <w:trPr>
                <w:trHeight w:val="283"/>
                <w:jc w:val="center"/>
              </w:trPr>
              <w:tc>
                <w:tcPr>
                  <w:tcW w:w="6873" w:type="dxa"/>
                  <w:shd w:val="clear" w:color="auto" w:fill="auto"/>
                  <w:noWrap/>
                  <w:vAlign w:val="center"/>
                </w:tcPr>
                <w:p w14:paraId="31226DC3"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Intervención Contingente:</w:t>
                  </w:r>
                  <w:r w:rsidRPr="001D33A5">
                    <w:rPr>
                      <w:rFonts w:ascii="Arial" w:eastAsia="Times New Roman" w:hAnsi="Arial" w:cs="Arial"/>
                      <w:sz w:val="20"/>
                      <w:szCs w:val="20"/>
                      <w:lang w:eastAsia="es-PE"/>
                    </w:rPr>
                    <w:t xml:space="preserve"> Intervención sobre los componentes o elementos no estructurales de las edificaciones ante la posibilidad de un colapso.</w:t>
                  </w:r>
                </w:p>
              </w:tc>
              <w:tc>
                <w:tcPr>
                  <w:tcW w:w="1984" w:type="dxa"/>
                  <w:vMerge/>
                  <w:vAlign w:val="center"/>
                </w:tcPr>
                <w:p w14:paraId="10D99727"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7AB5F6A5" w14:textId="77777777" w:rsidTr="006B6A86">
              <w:trPr>
                <w:trHeight w:val="283"/>
                <w:jc w:val="center"/>
              </w:trPr>
              <w:tc>
                <w:tcPr>
                  <w:tcW w:w="6873" w:type="dxa"/>
                  <w:shd w:val="clear" w:color="auto" w:fill="auto"/>
                  <w:noWrap/>
                  <w:vAlign w:val="center"/>
                </w:tcPr>
                <w:p w14:paraId="39F07873"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Requerimiento de Ampliaciones:</w:t>
                  </w:r>
                  <w:r w:rsidRPr="001D33A5">
                    <w:rPr>
                      <w:rFonts w:ascii="Arial" w:hAnsi="Arial" w:cs="Arial"/>
                      <w:sz w:val="20"/>
                      <w:szCs w:val="20"/>
                    </w:rPr>
                    <w:t xml:space="preserve"> </w:t>
                  </w:r>
                  <w:r w:rsidRPr="001D33A5">
                    <w:rPr>
                      <w:rFonts w:ascii="Arial" w:eastAsia="Times New Roman" w:hAnsi="Arial" w:cs="Arial"/>
                      <w:sz w:val="20"/>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984" w:type="dxa"/>
                  <w:vMerge/>
                  <w:vAlign w:val="center"/>
                </w:tcPr>
                <w:p w14:paraId="5949AE70"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45FEDFC0" w14:textId="77777777" w:rsidTr="006B6A86">
              <w:trPr>
                <w:trHeight w:val="283"/>
                <w:jc w:val="center"/>
              </w:trPr>
              <w:tc>
                <w:tcPr>
                  <w:tcW w:w="6873" w:type="dxa"/>
                  <w:shd w:val="clear" w:color="auto" w:fill="auto"/>
                  <w:noWrap/>
                  <w:vAlign w:val="center"/>
                  <w:hideMark/>
                </w:tcPr>
                <w:p w14:paraId="31C410BA"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Requerimiento de Acceso y Calidad a Servicios Básicos (luz, agua, desagüe):</w:t>
                  </w:r>
                  <w:r w:rsidRPr="001D33A5">
                    <w:rPr>
                      <w:rFonts w:ascii="Arial" w:eastAsia="Times New Roman" w:hAnsi="Arial" w:cs="Arial"/>
                      <w:sz w:val="20"/>
                      <w:szCs w:val="20"/>
                      <w:lang w:eastAsia="es-PE"/>
                    </w:rPr>
                    <w:t xml:space="preserve"> Comprende el requerimiento de sistemas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984" w:type="dxa"/>
                  <w:vMerge/>
                  <w:vAlign w:val="center"/>
                  <w:hideMark/>
                </w:tcPr>
                <w:p w14:paraId="49C281EB"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403B9B85" w14:textId="77777777" w:rsidTr="006B6A86">
              <w:trPr>
                <w:trHeight w:val="283"/>
                <w:jc w:val="center"/>
              </w:trPr>
              <w:tc>
                <w:tcPr>
                  <w:tcW w:w="6873" w:type="dxa"/>
                  <w:shd w:val="clear" w:color="auto" w:fill="auto"/>
                  <w:noWrap/>
                  <w:vAlign w:val="center"/>
                  <w:hideMark/>
                </w:tcPr>
                <w:p w14:paraId="5DDA983F" w14:textId="77777777"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lastRenderedPageBreak/>
                    <w:t>Requerimiento de Mobiliario y Equipamiento:</w:t>
                  </w:r>
                  <w:r w:rsidRPr="001D33A5">
                    <w:rPr>
                      <w:rFonts w:ascii="Arial" w:eastAsia="Times New Roman" w:hAnsi="Arial" w:cs="Arial"/>
                      <w:sz w:val="20"/>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984" w:type="dxa"/>
                  <w:vMerge/>
                  <w:shd w:val="clear" w:color="auto" w:fill="auto"/>
                  <w:vAlign w:val="center"/>
                  <w:hideMark/>
                </w:tcPr>
                <w:p w14:paraId="260F9E60"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22AD4DB6" w14:textId="77777777" w:rsidTr="006B6A86">
              <w:trPr>
                <w:trHeight w:val="283"/>
                <w:jc w:val="center"/>
              </w:trPr>
              <w:tc>
                <w:tcPr>
                  <w:tcW w:w="6873" w:type="dxa"/>
                  <w:shd w:val="clear" w:color="auto" w:fill="auto"/>
                  <w:noWrap/>
                  <w:vAlign w:val="center"/>
                </w:tcPr>
                <w:p w14:paraId="49CA2491" w14:textId="77777777" w:rsidR="00917BC3" w:rsidRPr="001D33A5" w:rsidRDefault="00917BC3" w:rsidP="001D33A5">
                  <w:pPr>
                    <w:spacing w:line="240" w:lineRule="auto"/>
                    <w:contextualSpacing/>
                    <w:rPr>
                      <w:rFonts w:ascii="Arial" w:eastAsia="Times New Roman" w:hAnsi="Arial" w:cs="Arial"/>
                      <w:sz w:val="20"/>
                      <w:szCs w:val="20"/>
                      <w:lang w:eastAsia="es-PE"/>
                    </w:rPr>
                  </w:pPr>
                  <w:r w:rsidRPr="001D33A5">
                    <w:rPr>
                      <w:rFonts w:ascii="Arial" w:eastAsia="Times New Roman" w:hAnsi="Arial" w:cs="Arial"/>
                      <w:b/>
                      <w:sz w:val="20"/>
                      <w:szCs w:val="20"/>
                      <w:lang w:eastAsia="es-PE"/>
                    </w:rPr>
                    <w:t>Requerimiento de accesibilidad para personas con discapacidad:</w:t>
                  </w:r>
                  <w:r w:rsidRPr="001D33A5">
                    <w:rPr>
                      <w:rFonts w:ascii="Arial" w:eastAsia="Times New Roman" w:hAnsi="Arial" w:cs="Arial"/>
                      <w:sz w:val="20"/>
                      <w:szCs w:val="20"/>
                      <w:lang w:eastAsia="es-PE"/>
                    </w:rPr>
                    <w:t xml:space="preserve"> intervención que requiere inodoros y rampas o elevadores, así como</w:t>
                  </w:r>
                  <w:r w:rsidRPr="001D33A5">
                    <w:rPr>
                      <w:rFonts w:ascii="Arial" w:hAnsi="Arial" w:cs="Arial"/>
                      <w:sz w:val="20"/>
                      <w:szCs w:val="20"/>
                    </w:rPr>
                    <w:t xml:space="preserve"> </w:t>
                  </w:r>
                  <w:r w:rsidRPr="001D33A5">
                    <w:rPr>
                      <w:rFonts w:ascii="Arial" w:eastAsia="Times New Roman" w:hAnsi="Arial" w:cs="Arial"/>
                      <w:sz w:val="20"/>
                      <w:szCs w:val="20"/>
                      <w:lang w:eastAsia="es-PE"/>
                    </w:rPr>
                    <w:t>adecuada señalización.</w:t>
                  </w:r>
                </w:p>
              </w:tc>
              <w:tc>
                <w:tcPr>
                  <w:tcW w:w="1984" w:type="dxa"/>
                  <w:vMerge/>
                  <w:shd w:val="clear" w:color="auto" w:fill="auto"/>
                  <w:vAlign w:val="center"/>
                </w:tcPr>
                <w:p w14:paraId="6AE9B40D"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r w:rsidR="00917BC3" w:rsidRPr="001D33A5" w14:paraId="1B258D71" w14:textId="77777777" w:rsidTr="006B6A86">
              <w:trPr>
                <w:trHeight w:val="283"/>
                <w:jc w:val="center"/>
              </w:trPr>
              <w:tc>
                <w:tcPr>
                  <w:tcW w:w="6873" w:type="dxa"/>
                  <w:shd w:val="clear" w:color="auto" w:fill="auto"/>
                  <w:noWrap/>
                  <w:vAlign w:val="center"/>
                  <w:hideMark/>
                </w:tcPr>
                <w:p w14:paraId="6D8B03AD" w14:textId="77777777" w:rsidR="00917BC3" w:rsidRPr="001D33A5" w:rsidRDefault="00917BC3" w:rsidP="001D33A5">
                  <w:pPr>
                    <w:spacing w:line="240" w:lineRule="auto"/>
                    <w:contextualSpacing/>
                    <w:rPr>
                      <w:rFonts w:ascii="Arial" w:eastAsia="Times New Roman" w:hAnsi="Arial" w:cs="Arial"/>
                      <w:sz w:val="20"/>
                      <w:szCs w:val="20"/>
                      <w:lang w:eastAsia="es-PE"/>
                    </w:rPr>
                  </w:pPr>
                  <w:r w:rsidRPr="001D33A5">
                    <w:rPr>
                      <w:rFonts w:ascii="Arial" w:eastAsia="Times New Roman" w:hAnsi="Arial" w:cs="Arial"/>
                      <w:b/>
                      <w:sz w:val="20"/>
                      <w:szCs w:val="20"/>
                      <w:lang w:eastAsia="es-PE"/>
                    </w:rPr>
                    <w:t>Sin Intervención</w:t>
                  </w:r>
                  <w:r w:rsidRPr="001D33A5">
                    <w:rPr>
                      <w:rFonts w:ascii="Arial" w:eastAsia="Times New Roman" w:hAnsi="Arial" w:cs="Arial"/>
                      <w:sz w:val="20"/>
                      <w:szCs w:val="20"/>
                      <w:lang w:eastAsia="es-PE"/>
                    </w:rPr>
                    <w:t>: No requiere intervención alguna.</w:t>
                  </w:r>
                </w:p>
              </w:tc>
              <w:tc>
                <w:tcPr>
                  <w:tcW w:w="1984" w:type="dxa"/>
                  <w:vMerge w:val="restart"/>
                  <w:shd w:val="clear" w:color="auto" w:fill="auto"/>
                  <w:vAlign w:val="center"/>
                  <w:hideMark/>
                </w:tcPr>
                <w:p w14:paraId="0918E568"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r w:rsidRPr="001D33A5">
                    <w:rPr>
                      <w:rFonts w:ascii="Arial" w:eastAsia="Times New Roman" w:hAnsi="Arial" w:cs="Arial"/>
                      <w:sz w:val="20"/>
                      <w:szCs w:val="20"/>
                      <w:lang w:eastAsia="es-PE"/>
                    </w:rPr>
                    <w:t>Adecuada</w:t>
                  </w:r>
                </w:p>
              </w:tc>
            </w:tr>
            <w:tr w:rsidR="00917BC3" w:rsidRPr="001D33A5" w14:paraId="4E2262CC" w14:textId="77777777" w:rsidTr="006B6A86">
              <w:trPr>
                <w:trHeight w:val="283"/>
                <w:jc w:val="center"/>
              </w:trPr>
              <w:tc>
                <w:tcPr>
                  <w:tcW w:w="6873" w:type="dxa"/>
                  <w:shd w:val="clear" w:color="auto" w:fill="auto"/>
                  <w:noWrap/>
                  <w:vAlign w:val="center"/>
                </w:tcPr>
                <w:p w14:paraId="0AAFE68B" w14:textId="4DB274B1" w:rsidR="00917BC3" w:rsidRPr="001D33A5" w:rsidRDefault="00917BC3" w:rsidP="001D33A5">
                  <w:pPr>
                    <w:spacing w:line="240" w:lineRule="auto"/>
                    <w:contextualSpacing/>
                    <w:jc w:val="both"/>
                    <w:rPr>
                      <w:rFonts w:ascii="Arial" w:eastAsia="Times New Roman" w:hAnsi="Arial" w:cs="Arial"/>
                      <w:sz w:val="20"/>
                      <w:szCs w:val="20"/>
                      <w:lang w:eastAsia="es-PE"/>
                    </w:rPr>
                  </w:pPr>
                  <w:r w:rsidRPr="001D33A5">
                    <w:rPr>
                      <w:rFonts w:ascii="Arial" w:eastAsia="Times New Roman" w:hAnsi="Arial" w:cs="Arial"/>
                      <w:b/>
                      <w:sz w:val="20"/>
                      <w:szCs w:val="20"/>
                      <w:lang w:eastAsia="es-PE"/>
                    </w:rPr>
                    <w:t xml:space="preserve">Local educativo o </w:t>
                  </w:r>
                  <w:r>
                    <w:rPr>
                      <w:rFonts w:ascii="Arial" w:eastAsia="Times New Roman" w:hAnsi="Arial" w:cs="Arial"/>
                      <w:b/>
                      <w:sz w:val="20"/>
                      <w:szCs w:val="20"/>
                      <w:lang w:eastAsia="es-PE"/>
                    </w:rPr>
                    <w:t>instalación educativa</w:t>
                  </w:r>
                  <w:r w:rsidRPr="001D33A5">
                    <w:rPr>
                      <w:rFonts w:ascii="Arial" w:eastAsia="Times New Roman" w:hAnsi="Arial" w:cs="Arial"/>
                      <w:b/>
                      <w:sz w:val="20"/>
                      <w:szCs w:val="20"/>
                      <w:lang w:eastAsia="es-PE"/>
                    </w:rPr>
                    <w:t xml:space="preserve"> intervenido mediante un proyecto de inversión pública de infraestructura educativa:</w:t>
                  </w:r>
                  <w:r w:rsidRPr="001D33A5">
                    <w:rPr>
                      <w:rFonts w:ascii="Arial" w:eastAsia="Times New Roman" w:hAnsi="Arial" w:cs="Arial"/>
                      <w:sz w:val="20"/>
                      <w:szCs w:val="20"/>
                      <w:lang w:eastAsia="es-PE"/>
                    </w:rPr>
                    <w:t xml:space="preserve"> Cuando se han completado las intervenciones mediante inversión que calificaban al local educativo o </w:t>
                  </w:r>
                  <w:r>
                    <w:rPr>
                      <w:rFonts w:ascii="Arial" w:eastAsia="Times New Roman" w:hAnsi="Arial" w:cs="Arial"/>
                      <w:sz w:val="20"/>
                      <w:szCs w:val="20"/>
                      <w:lang w:eastAsia="es-PE"/>
                    </w:rPr>
                    <w:t>instalación educativa</w:t>
                  </w:r>
                  <w:r w:rsidRPr="001D33A5">
                    <w:rPr>
                      <w:rFonts w:ascii="Arial" w:eastAsia="Times New Roman" w:hAnsi="Arial" w:cs="Arial"/>
                      <w:sz w:val="20"/>
                      <w:szCs w:val="20"/>
                      <w:lang w:eastAsia="es-PE"/>
                    </w:rPr>
                    <w:t xml:space="preserve"> como inadecuado.</w:t>
                  </w:r>
                </w:p>
              </w:tc>
              <w:tc>
                <w:tcPr>
                  <w:tcW w:w="1984" w:type="dxa"/>
                  <w:vMerge/>
                  <w:shd w:val="clear" w:color="auto" w:fill="auto"/>
                  <w:vAlign w:val="center"/>
                </w:tcPr>
                <w:p w14:paraId="192C28B5" w14:textId="77777777" w:rsidR="00917BC3" w:rsidRPr="001D33A5" w:rsidRDefault="00917BC3" w:rsidP="001D33A5">
                  <w:pPr>
                    <w:spacing w:line="240" w:lineRule="auto"/>
                    <w:contextualSpacing/>
                    <w:jc w:val="center"/>
                    <w:rPr>
                      <w:rFonts w:ascii="Arial" w:eastAsia="Times New Roman" w:hAnsi="Arial" w:cs="Arial"/>
                      <w:sz w:val="20"/>
                      <w:szCs w:val="20"/>
                      <w:lang w:eastAsia="es-PE"/>
                    </w:rPr>
                  </w:pPr>
                </w:p>
              </w:tc>
            </w:tr>
          </w:tbl>
          <w:p w14:paraId="717D1FAB" w14:textId="77777777" w:rsidR="00917BC3" w:rsidRPr="001D33A5" w:rsidRDefault="00917BC3" w:rsidP="001D33A5">
            <w:pPr>
              <w:jc w:val="both"/>
              <w:rPr>
                <w:rFonts w:ascii="Arial" w:hAnsi="Arial" w:cs="Arial"/>
                <w:sz w:val="20"/>
                <w:szCs w:val="20"/>
                <w:highlight w:val="yellow"/>
              </w:rPr>
            </w:pPr>
          </w:p>
          <w:p w14:paraId="0BCF786B" w14:textId="1E723E77" w:rsidR="00917BC3" w:rsidRPr="00281C58" w:rsidRDefault="00917BC3" w:rsidP="00281C58">
            <w:pPr>
              <w:pStyle w:val="Prrafodelista"/>
              <w:numPr>
                <w:ilvl w:val="1"/>
                <w:numId w:val="2"/>
              </w:numPr>
              <w:ind w:left="873" w:hanging="284"/>
              <w:jc w:val="both"/>
              <w:rPr>
                <w:rFonts w:ascii="Arial" w:hAnsi="Arial" w:cs="Arial"/>
                <w:sz w:val="20"/>
                <w:szCs w:val="20"/>
              </w:rPr>
            </w:pPr>
            <w:r w:rsidRPr="001D33A5">
              <w:rPr>
                <w:rFonts w:ascii="Arial" w:hAnsi="Arial" w:cs="Arial"/>
                <w:sz w:val="20"/>
                <w:szCs w:val="20"/>
              </w:rPr>
              <w:t>Censo Escolar (CE). Se determinará que un ambiente se encuentra en estado inadecuado cuando al menos uno de sus elementos (pared, techo o piso) se encuentra con la denominación de Mal estado</w:t>
            </w:r>
            <w:r w:rsidRPr="001D33A5">
              <w:rPr>
                <w:rStyle w:val="Refdenotaalpie"/>
                <w:rFonts w:ascii="Arial" w:hAnsi="Arial" w:cs="Arial"/>
                <w:sz w:val="20"/>
                <w:szCs w:val="20"/>
              </w:rPr>
              <w:footnoteReference w:id="14"/>
            </w:r>
            <w:r w:rsidRPr="001D33A5">
              <w:rPr>
                <w:rFonts w:ascii="Arial" w:hAnsi="Arial" w:cs="Arial"/>
                <w:sz w:val="20"/>
                <w:szCs w:val="20"/>
              </w:rPr>
              <w:t>. Por lo tanto, se estimará que la capacidad instalada de la</w:t>
            </w:r>
            <w:r>
              <w:rPr>
                <w:rFonts w:ascii="Arial" w:hAnsi="Arial" w:cs="Arial"/>
                <w:sz w:val="20"/>
                <w:szCs w:val="20"/>
              </w:rPr>
              <w:t xml:space="preserve"> instalación educativa</w:t>
            </w:r>
            <w:r w:rsidRPr="001D33A5">
              <w:rPr>
                <w:rFonts w:ascii="Arial" w:hAnsi="Arial" w:cs="Arial"/>
                <w:sz w:val="20"/>
                <w:szCs w:val="20"/>
              </w:rPr>
              <w:t xml:space="preserve"> se encuentra inadecuado, cuando al menos uno de sus ambientes se encuentre en estado inadecuado, tal como se muestra en el siguiente cuadro.</w:t>
            </w:r>
          </w:p>
          <w:p w14:paraId="314B5EEA" w14:textId="77777777" w:rsidR="00917BC3" w:rsidRPr="001D33A5" w:rsidRDefault="00917BC3" w:rsidP="001D33A5">
            <w:pPr>
              <w:pStyle w:val="Prrafodelista"/>
              <w:ind w:left="1440"/>
              <w:jc w:val="both"/>
              <w:rPr>
                <w:rFonts w:ascii="Arial" w:hAnsi="Arial" w:cs="Arial"/>
                <w:sz w:val="20"/>
                <w:szCs w:val="20"/>
              </w:rPr>
            </w:pPr>
          </w:p>
          <w:tbl>
            <w:tblPr>
              <w:tblW w:w="6994" w:type="dxa"/>
              <w:jc w:val="center"/>
              <w:tblLayout w:type="fixed"/>
              <w:tblCellMar>
                <w:left w:w="70" w:type="dxa"/>
                <w:right w:w="70" w:type="dxa"/>
              </w:tblCellMar>
              <w:tblLook w:val="04A0" w:firstRow="1" w:lastRow="0" w:firstColumn="1" w:lastColumn="0" w:noHBand="0" w:noVBand="1"/>
            </w:tblPr>
            <w:tblGrid>
              <w:gridCol w:w="1559"/>
              <w:gridCol w:w="1276"/>
              <w:gridCol w:w="1080"/>
              <w:gridCol w:w="1080"/>
              <w:gridCol w:w="1999"/>
            </w:tblGrid>
            <w:tr w:rsidR="00917BC3" w:rsidRPr="003A2BD2" w14:paraId="39616AB7" w14:textId="77777777" w:rsidTr="003A2BD2">
              <w:trPr>
                <w:trHeight w:val="510"/>
                <w:jc w:val="center"/>
              </w:trPr>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84F9C5" w14:textId="77777777" w:rsidR="00917BC3" w:rsidRPr="003A2BD2" w:rsidRDefault="00917BC3" w:rsidP="003A2BD2">
                  <w:pPr>
                    <w:spacing w:after="0" w:line="240" w:lineRule="auto"/>
                    <w:jc w:val="center"/>
                    <w:rPr>
                      <w:rFonts w:ascii="Arial" w:eastAsia="Times New Roman" w:hAnsi="Arial" w:cs="Arial"/>
                      <w:b/>
                      <w:bCs/>
                      <w:color w:val="000000"/>
                      <w:sz w:val="20"/>
                      <w:szCs w:val="20"/>
                      <w:lang w:eastAsia="es-PE"/>
                    </w:rPr>
                  </w:pPr>
                  <w:r w:rsidRPr="003A2BD2">
                    <w:rPr>
                      <w:rFonts w:ascii="Arial" w:eastAsia="Times New Roman" w:hAnsi="Arial" w:cs="Arial"/>
                      <w:b/>
                      <w:bCs/>
                      <w:color w:val="000000"/>
                      <w:sz w:val="20"/>
                      <w:szCs w:val="20"/>
                      <w:lang w:eastAsia="es-PE"/>
                    </w:rPr>
                    <w:t>Nº Combinación</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F6ECE57" w14:textId="77777777" w:rsidR="00917BC3" w:rsidRPr="003A2BD2" w:rsidRDefault="00917BC3" w:rsidP="003A2BD2">
                  <w:pPr>
                    <w:spacing w:after="0" w:line="240" w:lineRule="auto"/>
                    <w:jc w:val="center"/>
                    <w:rPr>
                      <w:rFonts w:ascii="Arial" w:eastAsia="Times New Roman" w:hAnsi="Arial" w:cs="Arial"/>
                      <w:b/>
                      <w:bCs/>
                      <w:color w:val="000000"/>
                      <w:sz w:val="20"/>
                      <w:szCs w:val="20"/>
                      <w:lang w:eastAsia="es-PE"/>
                    </w:rPr>
                  </w:pPr>
                  <w:r w:rsidRPr="003A2BD2">
                    <w:rPr>
                      <w:rFonts w:ascii="Arial" w:eastAsia="Times New Roman" w:hAnsi="Arial" w:cs="Arial"/>
                      <w:b/>
                      <w:bCs/>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8EE95EE" w14:textId="77777777" w:rsidR="00917BC3" w:rsidRPr="003A2BD2" w:rsidRDefault="00917BC3" w:rsidP="003A2BD2">
                  <w:pPr>
                    <w:spacing w:after="0" w:line="240" w:lineRule="auto"/>
                    <w:jc w:val="center"/>
                    <w:rPr>
                      <w:rFonts w:ascii="Arial" w:eastAsia="Times New Roman" w:hAnsi="Arial" w:cs="Arial"/>
                      <w:b/>
                      <w:bCs/>
                      <w:color w:val="000000"/>
                      <w:sz w:val="20"/>
                      <w:szCs w:val="20"/>
                      <w:lang w:eastAsia="es-PE"/>
                    </w:rPr>
                  </w:pPr>
                  <w:r w:rsidRPr="003A2BD2">
                    <w:rPr>
                      <w:rFonts w:ascii="Arial" w:eastAsia="Times New Roman" w:hAnsi="Arial" w:cs="Arial"/>
                      <w:b/>
                      <w:bCs/>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3FA9962" w14:textId="77777777" w:rsidR="00917BC3" w:rsidRPr="003A2BD2" w:rsidRDefault="00917BC3" w:rsidP="003A2BD2">
                  <w:pPr>
                    <w:spacing w:after="0" w:line="240" w:lineRule="auto"/>
                    <w:jc w:val="center"/>
                    <w:rPr>
                      <w:rFonts w:ascii="Arial" w:eastAsia="Times New Roman" w:hAnsi="Arial" w:cs="Arial"/>
                      <w:b/>
                      <w:bCs/>
                      <w:color w:val="000000"/>
                      <w:sz w:val="20"/>
                      <w:szCs w:val="20"/>
                      <w:lang w:eastAsia="es-PE"/>
                    </w:rPr>
                  </w:pPr>
                  <w:r w:rsidRPr="003A2BD2">
                    <w:rPr>
                      <w:rFonts w:ascii="Arial" w:eastAsia="Times New Roman" w:hAnsi="Arial" w:cs="Arial"/>
                      <w:b/>
                      <w:bCs/>
                      <w:color w:val="000000"/>
                      <w:sz w:val="20"/>
                      <w:szCs w:val="20"/>
                      <w:lang w:eastAsia="es-PE"/>
                    </w:rPr>
                    <w:t>Estado del piso</w:t>
                  </w:r>
                </w:p>
              </w:tc>
              <w:tc>
                <w:tcPr>
                  <w:tcW w:w="199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FDB4136" w14:textId="77777777" w:rsidR="00917BC3" w:rsidRPr="003A2BD2" w:rsidRDefault="00917BC3" w:rsidP="003A2BD2">
                  <w:pPr>
                    <w:spacing w:after="0" w:line="240" w:lineRule="auto"/>
                    <w:jc w:val="center"/>
                    <w:rPr>
                      <w:rFonts w:ascii="Arial" w:eastAsia="Times New Roman" w:hAnsi="Arial" w:cs="Arial"/>
                      <w:b/>
                      <w:bCs/>
                      <w:color w:val="000000"/>
                      <w:sz w:val="20"/>
                      <w:szCs w:val="20"/>
                      <w:lang w:eastAsia="es-PE"/>
                    </w:rPr>
                  </w:pPr>
                  <w:r w:rsidRPr="003A2BD2">
                    <w:rPr>
                      <w:rFonts w:ascii="Arial" w:eastAsia="Times New Roman" w:hAnsi="Arial" w:cs="Arial"/>
                      <w:b/>
                      <w:bCs/>
                      <w:color w:val="000000"/>
                      <w:sz w:val="20"/>
                      <w:szCs w:val="20"/>
                      <w:lang w:eastAsia="es-PE"/>
                    </w:rPr>
                    <w:t>Estado del ambiente</w:t>
                  </w:r>
                </w:p>
              </w:tc>
            </w:tr>
            <w:tr w:rsidR="00917BC3" w:rsidRPr="001D33A5" w14:paraId="76AD5029"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47CDD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w:t>
                  </w:r>
                </w:p>
              </w:tc>
              <w:tc>
                <w:tcPr>
                  <w:tcW w:w="1276" w:type="dxa"/>
                  <w:tcBorders>
                    <w:top w:val="nil"/>
                    <w:left w:val="nil"/>
                    <w:bottom w:val="single" w:sz="4" w:space="0" w:color="auto"/>
                    <w:right w:val="single" w:sz="4" w:space="0" w:color="auto"/>
                  </w:tcBorders>
                  <w:shd w:val="clear" w:color="auto" w:fill="auto"/>
                  <w:noWrap/>
                  <w:vAlign w:val="center"/>
                  <w:hideMark/>
                </w:tcPr>
                <w:p w14:paraId="02B179E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9DFB2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0B9643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4346300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340CF292"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1E92A0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w:t>
                  </w:r>
                </w:p>
              </w:tc>
              <w:tc>
                <w:tcPr>
                  <w:tcW w:w="1276" w:type="dxa"/>
                  <w:tcBorders>
                    <w:top w:val="nil"/>
                    <w:left w:val="nil"/>
                    <w:bottom w:val="single" w:sz="4" w:space="0" w:color="auto"/>
                    <w:right w:val="single" w:sz="4" w:space="0" w:color="auto"/>
                  </w:tcBorders>
                  <w:shd w:val="clear" w:color="auto" w:fill="auto"/>
                  <w:noWrap/>
                  <w:vAlign w:val="center"/>
                  <w:hideMark/>
                </w:tcPr>
                <w:p w14:paraId="18FD64F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C175AA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6FCB8D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184BEE9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34C08DE5"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C28B1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3</w:t>
                  </w:r>
                </w:p>
              </w:tc>
              <w:tc>
                <w:tcPr>
                  <w:tcW w:w="1276" w:type="dxa"/>
                  <w:tcBorders>
                    <w:top w:val="nil"/>
                    <w:left w:val="nil"/>
                    <w:bottom w:val="single" w:sz="4" w:space="0" w:color="auto"/>
                    <w:right w:val="single" w:sz="4" w:space="0" w:color="auto"/>
                  </w:tcBorders>
                  <w:shd w:val="clear" w:color="auto" w:fill="auto"/>
                  <w:noWrap/>
                  <w:vAlign w:val="center"/>
                  <w:hideMark/>
                </w:tcPr>
                <w:p w14:paraId="155F49E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3A2D44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8B735F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479EDE3C"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36F99EAE"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106BD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054B2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D2003C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03E04D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364CAF9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2C986981"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495D1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5</w:t>
                  </w:r>
                </w:p>
              </w:tc>
              <w:tc>
                <w:tcPr>
                  <w:tcW w:w="1276" w:type="dxa"/>
                  <w:tcBorders>
                    <w:top w:val="nil"/>
                    <w:left w:val="nil"/>
                    <w:bottom w:val="single" w:sz="4" w:space="0" w:color="auto"/>
                    <w:right w:val="single" w:sz="4" w:space="0" w:color="auto"/>
                  </w:tcBorders>
                  <w:shd w:val="clear" w:color="auto" w:fill="auto"/>
                  <w:noWrap/>
                  <w:vAlign w:val="center"/>
                  <w:hideMark/>
                </w:tcPr>
                <w:p w14:paraId="16851A1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B45C86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26FE0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65EC12C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3AAF6BF7"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14493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6</w:t>
                  </w:r>
                </w:p>
              </w:tc>
              <w:tc>
                <w:tcPr>
                  <w:tcW w:w="1276" w:type="dxa"/>
                  <w:tcBorders>
                    <w:top w:val="nil"/>
                    <w:left w:val="nil"/>
                    <w:bottom w:val="single" w:sz="4" w:space="0" w:color="auto"/>
                    <w:right w:val="single" w:sz="4" w:space="0" w:color="auto"/>
                  </w:tcBorders>
                  <w:shd w:val="clear" w:color="auto" w:fill="auto"/>
                  <w:noWrap/>
                  <w:vAlign w:val="center"/>
                  <w:hideMark/>
                </w:tcPr>
                <w:p w14:paraId="1B49842C"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E6040A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D9D617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19B11CE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239A931B"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6CDC19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7</w:t>
                  </w:r>
                </w:p>
              </w:tc>
              <w:tc>
                <w:tcPr>
                  <w:tcW w:w="1276" w:type="dxa"/>
                  <w:tcBorders>
                    <w:top w:val="nil"/>
                    <w:left w:val="nil"/>
                    <w:bottom w:val="single" w:sz="4" w:space="0" w:color="auto"/>
                    <w:right w:val="single" w:sz="4" w:space="0" w:color="auto"/>
                  </w:tcBorders>
                  <w:shd w:val="clear" w:color="auto" w:fill="auto"/>
                  <w:noWrap/>
                  <w:vAlign w:val="center"/>
                  <w:hideMark/>
                </w:tcPr>
                <w:p w14:paraId="4E88960C"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8F11C4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4D5D7E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1AC8C78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4FC99F2F"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0A343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8</w:t>
                  </w:r>
                </w:p>
              </w:tc>
              <w:tc>
                <w:tcPr>
                  <w:tcW w:w="1276" w:type="dxa"/>
                  <w:tcBorders>
                    <w:top w:val="nil"/>
                    <w:left w:val="nil"/>
                    <w:bottom w:val="single" w:sz="4" w:space="0" w:color="auto"/>
                    <w:right w:val="single" w:sz="4" w:space="0" w:color="auto"/>
                  </w:tcBorders>
                  <w:shd w:val="clear" w:color="auto" w:fill="auto"/>
                  <w:noWrap/>
                  <w:vAlign w:val="center"/>
                  <w:hideMark/>
                </w:tcPr>
                <w:p w14:paraId="2E82382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4B070D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FE648B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108169E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3922CBFD"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ECB21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9</w:t>
                  </w:r>
                </w:p>
              </w:tc>
              <w:tc>
                <w:tcPr>
                  <w:tcW w:w="1276" w:type="dxa"/>
                  <w:tcBorders>
                    <w:top w:val="nil"/>
                    <w:left w:val="nil"/>
                    <w:bottom w:val="single" w:sz="4" w:space="0" w:color="auto"/>
                    <w:right w:val="single" w:sz="4" w:space="0" w:color="auto"/>
                  </w:tcBorders>
                  <w:shd w:val="clear" w:color="auto" w:fill="auto"/>
                  <w:noWrap/>
                  <w:vAlign w:val="center"/>
                  <w:hideMark/>
                </w:tcPr>
                <w:p w14:paraId="07797C1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A9A66B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063EEB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44CAF4EC"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4924C9A0"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F882F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6C5710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F8E334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52B9F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19B4D38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6130445A"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57CD34"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A6801B4"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31650F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2D409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0513BC6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1FE7E790"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BB2C6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EA454F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15BB1B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5BD7F3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11C72520"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Adecuado</w:t>
                  </w:r>
                </w:p>
              </w:tc>
            </w:tr>
            <w:tr w:rsidR="00917BC3" w:rsidRPr="001D33A5" w14:paraId="62D3092D"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AB35D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93E1BC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BB84F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E9E1D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498A89B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1BC1CE8E"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13E44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14</w:t>
                  </w:r>
                </w:p>
              </w:tc>
              <w:tc>
                <w:tcPr>
                  <w:tcW w:w="1276" w:type="dxa"/>
                  <w:tcBorders>
                    <w:top w:val="nil"/>
                    <w:left w:val="nil"/>
                    <w:bottom w:val="single" w:sz="4" w:space="0" w:color="auto"/>
                    <w:right w:val="single" w:sz="4" w:space="0" w:color="auto"/>
                  </w:tcBorders>
                  <w:shd w:val="clear" w:color="auto" w:fill="auto"/>
                  <w:noWrap/>
                  <w:vAlign w:val="center"/>
                  <w:hideMark/>
                </w:tcPr>
                <w:p w14:paraId="772A5FD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FAAF32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C3FD0C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473A1EF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6BDC585F"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1DF09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8A44E0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252A67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7C9962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3B92052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01602F37"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371EF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16</w:t>
                  </w:r>
                </w:p>
              </w:tc>
              <w:tc>
                <w:tcPr>
                  <w:tcW w:w="1276" w:type="dxa"/>
                  <w:tcBorders>
                    <w:top w:val="nil"/>
                    <w:left w:val="nil"/>
                    <w:bottom w:val="single" w:sz="4" w:space="0" w:color="auto"/>
                    <w:right w:val="single" w:sz="4" w:space="0" w:color="auto"/>
                  </w:tcBorders>
                  <w:shd w:val="clear" w:color="auto" w:fill="auto"/>
                  <w:noWrap/>
                  <w:vAlign w:val="center"/>
                  <w:hideMark/>
                </w:tcPr>
                <w:p w14:paraId="00AC87BC"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DFF73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C1BAA2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3C5AC5B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516C1374"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FFFEC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4DD580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A86098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27B6A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55985E7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3D78E7E3"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333364"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18</w:t>
                  </w:r>
                </w:p>
              </w:tc>
              <w:tc>
                <w:tcPr>
                  <w:tcW w:w="1276" w:type="dxa"/>
                  <w:tcBorders>
                    <w:top w:val="nil"/>
                    <w:left w:val="nil"/>
                    <w:bottom w:val="single" w:sz="4" w:space="0" w:color="auto"/>
                    <w:right w:val="single" w:sz="4" w:space="0" w:color="auto"/>
                  </w:tcBorders>
                  <w:shd w:val="clear" w:color="auto" w:fill="auto"/>
                  <w:noWrap/>
                  <w:vAlign w:val="center"/>
                  <w:hideMark/>
                </w:tcPr>
                <w:p w14:paraId="59474C8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F4FE90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7AA9EE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479F186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4859231C"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64C495"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19</w:t>
                  </w:r>
                </w:p>
              </w:tc>
              <w:tc>
                <w:tcPr>
                  <w:tcW w:w="1276" w:type="dxa"/>
                  <w:tcBorders>
                    <w:top w:val="nil"/>
                    <w:left w:val="nil"/>
                    <w:bottom w:val="single" w:sz="4" w:space="0" w:color="auto"/>
                    <w:right w:val="single" w:sz="4" w:space="0" w:color="auto"/>
                  </w:tcBorders>
                  <w:shd w:val="clear" w:color="auto" w:fill="auto"/>
                  <w:noWrap/>
                  <w:vAlign w:val="center"/>
                  <w:hideMark/>
                </w:tcPr>
                <w:p w14:paraId="4ED66F2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373220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2EC5D5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00C6092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0E3DCA19"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A4C723"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278401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A406D6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4B2E71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7E57ED76"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1E599C65"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7EC8D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1ECD7C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61F7D5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118FA8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064EF6A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184D4EC7"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D190D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22</w:t>
                  </w:r>
                </w:p>
              </w:tc>
              <w:tc>
                <w:tcPr>
                  <w:tcW w:w="1276" w:type="dxa"/>
                  <w:tcBorders>
                    <w:top w:val="nil"/>
                    <w:left w:val="nil"/>
                    <w:bottom w:val="single" w:sz="4" w:space="0" w:color="auto"/>
                    <w:right w:val="single" w:sz="4" w:space="0" w:color="auto"/>
                  </w:tcBorders>
                  <w:shd w:val="clear" w:color="auto" w:fill="auto"/>
                  <w:noWrap/>
                  <w:vAlign w:val="center"/>
                  <w:hideMark/>
                </w:tcPr>
                <w:p w14:paraId="78AEE3F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6B925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1DA860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375378C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688921D9"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D3E2A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23</w:t>
                  </w:r>
                </w:p>
              </w:tc>
              <w:tc>
                <w:tcPr>
                  <w:tcW w:w="1276" w:type="dxa"/>
                  <w:tcBorders>
                    <w:top w:val="nil"/>
                    <w:left w:val="nil"/>
                    <w:bottom w:val="single" w:sz="4" w:space="0" w:color="auto"/>
                    <w:right w:val="single" w:sz="4" w:space="0" w:color="auto"/>
                  </w:tcBorders>
                  <w:shd w:val="clear" w:color="auto" w:fill="auto"/>
                  <w:noWrap/>
                  <w:vAlign w:val="center"/>
                  <w:hideMark/>
                </w:tcPr>
                <w:p w14:paraId="23AB5A58"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FB5997D"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CE411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27A4637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4CA82F5E"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E47C90"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B8B8E6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3E21900"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3E5CED9"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123D1701"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01FCD5B6"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2E173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25</w:t>
                  </w:r>
                </w:p>
              </w:tc>
              <w:tc>
                <w:tcPr>
                  <w:tcW w:w="1276" w:type="dxa"/>
                  <w:tcBorders>
                    <w:top w:val="nil"/>
                    <w:left w:val="nil"/>
                    <w:bottom w:val="single" w:sz="4" w:space="0" w:color="auto"/>
                    <w:right w:val="single" w:sz="4" w:space="0" w:color="auto"/>
                  </w:tcBorders>
                  <w:shd w:val="clear" w:color="auto" w:fill="auto"/>
                  <w:noWrap/>
                  <w:vAlign w:val="center"/>
                  <w:hideMark/>
                </w:tcPr>
                <w:p w14:paraId="623D92A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305CF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D6C894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B</w:t>
                  </w:r>
                </w:p>
              </w:tc>
              <w:tc>
                <w:tcPr>
                  <w:tcW w:w="1999" w:type="dxa"/>
                  <w:tcBorders>
                    <w:top w:val="nil"/>
                    <w:left w:val="nil"/>
                    <w:bottom w:val="single" w:sz="4" w:space="0" w:color="auto"/>
                    <w:right w:val="single" w:sz="4" w:space="0" w:color="auto"/>
                  </w:tcBorders>
                  <w:shd w:val="clear" w:color="auto" w:fill="auto"/>
                  <w:noWrap/>
                  <w:hideMark/>
                </w:tcPr>
                <w:p w14:paraId="37DBB00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656704AC"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9F6070"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C4380C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4B140B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0BA8AE"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R</w:t>
                  </w:r>
                </w:p>
              </w:tc>
              <w:tc>
                <w:tcPr>
                  <w:tcW w:w="1999" w:type="dxa"/>
                  <w:tcBorders>
                    <w:top w:val="nil"/>
                    <w:left w:val="nil"/>
                    <w:bottom w:val="single" w:sz="4" w:space="0" w:color="auto"/>
                    <w:right w:val="single" w:sz="4" w:space="0" w:color="auto"/>
                  </w:tcBorders>
                  <w:shd w:val="clear" w:color="auto" w:fill="auto"/>
                  <w:noWrap/>
                  <w:hideMark/>
                </w:tcPr>
                <w:p w14:paraId="2D530802"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r w:rsidR="00917BC3" w:rsidRPr="001D33A5" w14:paraId="755E0FE3" w14:textId="77777777" w:rsidTr="003A2BD2">
              <w:trPr>
                <w:trHeigh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2B336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27</w:t>
                  </w:r>
                </w:p>
              </w:tc>
              <w:tc>
                <w:tcPr>
                  <w:tcW w:w="1276" w:type="dxa"/>
                  <w:tcBorders>
                    <w:top w:val="nil"/>
                    <w:left w:val="nil"/>
                    <w:bottom w:val="single" w:sz="4" w:space="0" w:color="auto"/>
                    <w:right w:val="single" w:sz="4" w:space="0" w:color="auto"/>
                  </w:tcBorders>
                  <w:shd w:val="clear" w:color="auto" w:fill="auto"/>
                  <w:noWrap/>
                  <w:vAlign w:val="center"/>
                  <w:hideMark/>
                </w:tcPr>
                <w:p w14:paraId="60607027"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EBB71AA"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8047D5F"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M</w:t>
                  </w:r>
                </w:p>
              </w:tc>
              <w:tc>
                <w:tcPr>
                  <w:tcW w:w="1999" w:type="dxa"/>
                  <w:tcBorders>
                    <w:top w:val="nil"/>
                    <w:left w:val="nil"/>
                    <w:bottom w:val="single" w:sz="4" w:space="0" w:color="auto"/>
                    <w:right w:val="single" w:sz="4" w:space="0" w:color="auto"/>
                  </w:tcBorders>
                  <w:shd w:val="clear" w:color="auto" w:fill="auto"/>
                  <w:noWrap/>
                  <w:hideMark/>
                </w:tcPr>
                <w:p w14:paraId="4F4A6DAB" w14:textId="77777777" w:rsidR="00917BC3" w:rsidRPr="001D33A5" w:rsidRDefault="00917BC3" w:rsidP="003A2BD2">
                  <w:pPr>
                    <w:spacing w:after="0" w:line="240" w:lineRule="auto"/>
                    <w:jc w:val="center"/>
                    <w:rPr>
                      <w:rFonts w:ascii="Arial" w:eastAsia="Times New Roman" w:hAnsi="Arial" w:cs="Arial"/>
                      <w:color w:val="000000"/>
                      <w:sz w:val="20"/>
                      <w:szCs w:val="20"/>
                      <w:lang w:eastAsia="es-PE"/>
                    </w:rPr>
                  </w:pPr>
                  <w:r w:rsidRPr="001D33A5">
                    <w:rPr>
                      <w:rFonts w:ascii="Arial" w:eastAsia="Times New Roman" w:hAnsi="Arial" w:cs="Arial"/>
                      <w:color w:val="000000"/>
                      <w:sz w:val="20"/>
                      <w:szCs w:val="20"/>
                      <w:lang w:eastAsia="es-PE"/>
                    </w:rPr>
                    <w:t>Inadecuado</w:t>
                  </w:r>
                </w:p>
              </w:tc>
            </w:tr>
          </w:tbl>
          <w:p w14:paraId="415FD1F6" w14:textId="77777777" w:rsidR="00917BC3" w:rsidRPr="003A2BD2" w:rsidRDefault="00917BC3" w:rsidP="003A2BD2">
            <w:pPr>
              <w:ind w:left="1156"/>
              <w:jc w:val="both"/>
              <w:rPr>
                <w:rFonts w:ascii="Arial" w:hAnsi="Arial" w:cs="Arial"/>
                <w:sz w:val="20"/>
                <w:szCs w:val="20"/>
              </w:rPr>
            </w:pPr>
            <w:r w:rsidRPr="003A2BD2">
              <w:rPr>
                <w:rFonts w:ascii="Arial" w:hAnsi="Arial" w:cs="Arial"/>
                <w:sz w:val="20"/>
                <w:szCs w:val="20"/>
              </w:rPr>
              <w:t>Donde:</w:t>
            </w:r>
          </w:p>
          <w:p w14:paraId="5F7FC3C9" w14:textId="1FD32CC1" w:rsidR="00917BC3" w:rsidRPr="001D33A5" w:rsidRDefault="00917BC3" w:rsidP="003A2BD2">
            <w:pPr>
              <w:pStyle w:val="Prrafodelista"/>
              <w:ind w:left="1723"/>
              <w:jc w:val="both"/>
              <w:rPr>
                <w:rFonts w:ascii="Arial" w:hAnsi="Arial" w:cs="Arial"/>
                <w:sz w:val="20"/>
                <w:szCs w:val="20"/>
              </w:rPr>
            </w:pPr>
            <w:r w:rsidRPr="001D33A5">
              <w:rPr>
                <w:rFonts w:ascii="Arial" w:hAnsi="Arial" w:cs="Arial"/>
                <w:sz w:val="20"/>
                <w:szCs w:val="20"/>
              </w:rPr>
              <w:t>B: Buen estado</w:t>
            </w:r>
          </w:p>
          <w:p w14:paraId="4386D34E" w14:textId="77777777" w:rsidR="00917BC3" w:rsidRPr="001D33A5" w:rsidRDefault="00917BC3" w:rsidP="003A2BD2">
            <w:pPr>
              <w:pStyle w:val="Prrafodelista"/>
              <w:ind w:left="1723"/>
              <w:jc w:val="both"/>
              <w:rPr>
                <w:rFonts w:ascii="Arial" w:hAnsi="Arial" w:cs="Arial"/>
                <w:sz w:val="20"/>
                <w:szCs w:val="20"/>
              </w:rPr>
            </w:pPr>
            <w:r w:rsidRPr="001D33A5">
              <w:rPr>
                <w:rFonts w:ascii="Arial" w:hAnsi="Arial" w:cs="Arial"/>
                <w:sz w:val="20"/>
                <w:szCs w:val="20"/>
              </w:rPr>
              <w:t>R: Regular estado</w:t>
            </w:r>
          </w:p>
          <w:p w14:paraId="266536A6" w14:textId="0368B392" w:rsidR="00917BC3" w:rsidRPr="001D33A5" w:rsidRDefault="00917BC3" w:rsidP="003A2BD2">
            <w:pPr>
              <w:pStyle w:val="Prrafodelista"/>
              <w:ind w:left="1723"/>
              <w:jc w:val="both"/>
              <w:rPr>
                <w:rFonts w:ascii="Arial" w:hAnsi="Arial" w:cs="Arial"/>
                <w:sz w:val="20"/>
                <w:szCs w:val="20"/>
              </w:rPr>
            </w:pPr>
            <w:r w:rsidRPr="001D33A5">
              <w:rPr>
                <w:rFonts w:ascii="Arial" w:hAnsi="Arial" w:cs="Arial"/>
                <w:sz w:val="20"/>
                <w:szCs w:val="20"/>
              </w:rPr>
              <w:t>M: Mal estado</w:t>
            </w:r>
          </w:p>
          <w:p w14:paraId="343D943A" w14:textId="77777777" w:rsidR="00917BC3" w:rsidRPr="001D33A5" w:rsidRDefault="00917BC3" w:rsidP="001D33A5">
            <w:pPr>
              <w:jc w:val="both"/>
              <w:rPr>
                <w:rFonts w:ascii="Arial" w:hAnsi="Arial" w:cs="Arial"/>
                <w:sz w:val="20"/>
                <w:szCs w:val="20"/>
              </w:rPr>
            </w:pPr>
          </w:p>
          <w:p w14:paraId="7400B5E2" w14:textId="77777777" w:rsidR="00917BC3" w:rsidRPr="001D33A5" w:rsidRDefault="00917BC3" w:rsidP="001D33A5">
            <w:pPr>
              <w:ind w:left="1014"/>
              <w:jc w:val="both"/>
              <w:rPr>
                <w:rFonts w:ascii="Arial" w:hAnsi="Arial" w:cs="Arial"/>
                <w:sz w:val="20"/>
                <w:szCs w:val="20"/>
              </w:rPr>
            </w:pPr>
          </w:p>
          <w:p w14:paraId="67A41B98" w14:textId="2EC24C0E" w:rsidR="00917BC3" w:rsidRPr="001D33A5" w:rsidRDefault="00917BC3" w:rsidP="003A2BD2">
            <w:pPr>
              <w:pStyle w:val="Prrafodelista"/>
              <w:numPr>
                <w:ilvl w:val="0"/>
                <w:numId w:val="2"/>
              </w:numPr>
              <w:autoSpaceDE w:val="0"/>
              <w:autoSpaceDN w:val="0"/>
              <w:ind w:left="589" w:hanging="567"/>
              <w:jc w:val="both"/>
              <w:rPr>
                <w:rFonts w:ascii="Arial" w:eastAsiaTheme="minorEastAsia" w:hAnsi="Arial" w:cs="Arial"/>
                <w:sz w:val="20"/>
                <w:szCs w:val="20"/>
              </w:rPr>
            </w:pPr>
            <w:r w:rsidRPr="001D33A5">
              <w:rPr>
                <w:rFonts w:ascii="Arial" w:eastAsiaTheme="minorEastAsia" w:hAnsi="Arial" w:cs="Arial"/>
                <w:sz w:val="20"/>
                <w:szCs w:val="20"/>
              </w:rPr>
              <w:t>Para efectos de estimar con precisión el valor numérico de los indicadores y contar con un elevado nivel de confianza del estado de las</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xml:space="preserve"> a través de un análisis de inversión, no se consideran las inversiones con las siguientes características</w:t>
            </w:r>
            <w:r w:rsidRPr="001D33A5">
              <w:rPr>
                <w:rStyle w:val="Refdenotaalpie"/>
                <w:rFonts w:ascii="Arial" w:eastAsiaTheme="minorEastAsia" w:hAnsi="Arial" w:cs="Arial"/>
                <w:sz w:val="20"/>
                <w:szCs w:val="20"/>
              </w:rPr>
              <w:footnoteReference w:id="15"/>
            </w:r>
            <w:r w:rsidRPr="001D33A5">
              <w:rPr>
                <w:rFonts w:ascii="Arial" w:eastAsiaTheme="minorEastAsia" w:hAnsi="Arial" w:cs="Arial"/>
                <w:sz w:val="20"/>
                <w:szCs w:val="20"/>
              </w:rPr>
              <w:t>:</w:t>
            </w:r>
          </w:p>
          <w:p w14:paraId="1DC3826B" w14:textId="77777777" w:rsidR="00917BC3" w:rsidRPr="001D33A5" w:rsidRDefault="00917BC3" w:rsidP="001D33A5">
            <w:pPr>
              <w:rPr>
                <w:rFonts w:ascii="Arial" w:hAnsi="Arial" w:cs="Arial"/>
                <w:sz w:val="20"/>
                <w:szCs w:val="20"/>
              </w:rPr>
            </w:pPr>
          </w:p>
          <w:p w14:paraId="706F016F" w14:textId="6EEC85DB" w:rsidR="00917BC3" w:rsidRPr="001D33A5" w:rsidRDefault="00917BC3" w:rsidP="00281C58">
            <w:pPr>
              <w:pStyle w:val="Prrafodelista"/>
              <w:numPr>
                <w:ilvl w:val="0"/>
                <w:numId w:val="3"/>
              </w:numPr>
              <w:jc w:val="both"/>
              <w:rPr>
                <w:rFonts w:ascii="Arial" w:eastAsiaTheme="minorEastAsia" w:hAnsi="Arial" w:cs="Arial"/>
                <w:sz w:val="20"/>
                <w:szCs w:val="20"/>
              </w:rPr>
            </w:pPr>
            <w:r w:rsidRPr="001D33A5">
              <w:rPr>
                <w:rFonts w:ascii="Arial" w:eastAsiaTheme="minorEastAsia" w:hAnsi="Arial" w:cs="Arial"/>
                <w:sz w:val="20"/>
                <w:szCs w:val="20"/>
              </w:rPr>
              <w:t>No se considera ninguna inversión que no sea un proyecto de inversión, dado que las IOARR no garantizan que la intervención sobre la</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 xml:space="preserve"> sea integral, por lo que no se puede determinar el valor de su contribución al cierre de brecha</w:t>
            </w:r>
            <w:r w:rsidRPr="00281C58">
              <w:footnoteReference w:id="16"/>
            </w:r>
            <w:r w:rsidRPr="001D33A5">
              <w:rPr>
                <w:rFonts w:ascii="Arial" w:eastAsiaTheme="minorEastAsia" w:hAnsi="Arial" w:cs="Arial"/>
                <w:sz w:val="20"/>
                <w:szCs w:val="20"/>
              </w:rPr>
              <w:t>.</w:t>
            </w:r>
            <w:r>
              <w:rPr>
                <w:rFonts w:ascii="Arial" w:eastAsiaTheme="minorEastAsia" w:hAnsi="Arial" w:cs="Arial"/>
                <w:sz w:val="20"/>
                <w:szCs w:val="20"/>
              </w:rPr>
              <w:t xml:space="preserve"> Asimismo, no se consideran las intervenciones asociadas a intervenciones de reconstrucción.</w:t>
            </w:r>
          </w:p>
          <w:p w14:paraId="6D96F2DC" w14:textId="2ABD2592" w:rsidR="00917BC3" w:rsidRPr="001D33A5" w:rsidRDefault="00917BC3" w:rsidP="00281C58">
            <w:pPr>
              <w:pStyle w:val="Prrafodelista"/>
              <w:numPr>
                <w:ilvl w:val="0"/>
                <w:numId w:val="3"/>
              </w:numPr>
              <w:jc w:val="both"/>
              <w:rPr>
                <w:rFonts w:ascii="Arial" w:eastAsiaTheme="minorEastAsia" w:hAnsi="Arial" w:cs="Arial"/>
                <w:sz w:val="20"/>
                <w:szCs w:val="20"/>
              </w:rPr>
            </w:pPr>
            <w:r w:rsidRPr="001D33A5">
              <w:rPr>
                <w:rFonts w:ascii="Arial" w:eastAsiaTheme="minorEastAsia" w:hAnsi="Arial" w:cs="Arial"/>
                <w:sz w:val="20"/>
                <w:szCs w:val="20"/>
              </w:rPr>
              <w:t>No se consideran las intervenciones consideradas como proyectos de inversión de solo capacitación, dado que estas acciones no están relacionadas a los factores productivos de infraestructura, mobiliario o equipamiento de las</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por lo que no contribuyen al cierre de brechas de infraestructura.</w:t>
            </w:r>
            <w:r>
              <w:rPr>
                <w:rFonts w:ascii="Arial" w:eastAsiaTheme="minorEastAsia" w:hAnsi="Arial" w:cs="Arial"/>
                <w:sz w:val="20"/>
                <w:szCs w:val="20"/>
              </w:rPr>
              <w:t xml:space="preserve"> Solo se consideran inversiones cuya intervención predominante sea en infraestructura, mobiliario y/o equipamiento.</w:t>
            </w:r>
          </w:p>
          <w:p w14:paraId="52EFE5B8" w14:textId="67D17B3C" w:rsidR="00917BC3" w:rsidRDefault="00917BC3" w:rsidP="00281C58">
            <w:pPr>
              <w:pStyle w:val="Prrafodelista"/>
              <w:numPr>
                <w:ilvl w:val="0"/>
                <w:numId w:val="3"/>
              </w:numPr>
              <w:jc w:val="both"/>
              <w:rPr>
                <w:rFonts w:ascii="Arial" w:eastAsiaTheme="minorEastAsia" w:hAnsi="Arial" w:cs="Arial"/>
                <w:sz w:val="20"/>
                <w:szCs w:val="20"/>
              </w:rPr>
            </w:pPr>
            <w:r w:rsidRPr="001D33A5">
              <w:rPr>
                <w:rFonts w:ascii="Arial" w:eastAsiaTheme="minorEastAsia" w:hAnsi="Arial" w:cs="Arial"/>
                <w:sz w:val="20"/>
                <w:szCs w:val="20"/>
              </w:rPr>
              <w:t>No se consideran las intervenciones como proyectos de inversión de solo compra de materiales, dado que estas acciones no están relacionadas a los factores productivos de infraestructura, mobiliario o equipamiento de las</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por lo que no contribuyen al cierre de brechas de infraestructura.</w:t>
            </w:r>
          </w:p>
          <w:p w14:paraId="25AEA560" w14:textId="16BE9A7D" w:rsidR="00917BC3" w:rsidRDefault="00917BC3" w:rsidP="00281C58">
            <w:pPr>
              <w:pStyle w:val="Prrafodelista"/>
              <w:numPr>
                <w:ilvl w:val="0"/>
                <w:numId w:val="3"/>
              </w:numPr>
              <w:jc w:val="both"/>
              <w:rPr>
                <w:rFonts w:ascii="Arial" w:eastAsiaTheme="minorEastAsia" w:hAnsi="Arial" w:cs="Arial"/>
                <w:sz w:val="20"/>
                <w:szCs w:val="20"/>
              </w:rPr>
            </w:pPr>
            <w:r>
              <w:rPr>
                <w:rFonts w:ascii="Arial" w:eastAsiaTheme="minorEastAsia" w:hAnsi="Arial" w:cs="Arial"/>
                <w:sz w:val="20"/>
                <w:szCs w:val="20"/>
              </w:rPr>
              <w:t>No se consideran proyectos de inversión o IOARR cuyas metas sean únicamente de cobertura liviana en espacios exteriores o de intervenciones deportivas, pues podría indicar de un posible error en el registro o funcionamiento.</w:t>
            </w:r>
          </w:p>
          <w:p w14:paraId="13BEB346" w14:textId="2F18E239" w:rsidR="00917BC3" w:rsidRPr="001D33A5" w:rsidRDefault="00917BC3" w:rsidP="00281C58">
            <w:pPr>
              <w:pStyle w:val="Prrafodelista"/>
              <w:numPr>
                <w:ilvl w:val="0"/>
                <w:numId w:val="3"/>
              </w:numPr>
              <w:jc w:val="both"/>
              <w:rPr>
                <w:rFonts w:ascii="Arial" w:eastAsiaTheme="minorEastAsia" w:hAnsi="Arial" w:cs="Arial"/>
                <w:sz w:val="20"/>
                <w:szCs w:val="20"/>
              </w:rPr>
            </w:pPr>
            <w:r>
              <w:rPr>
                <w:rFonts w:ascii="Arial" w:eastAsiaTheme="minorEastAsia" w:hAnsi="Arial" w:cs="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584CB12A" w14:textId="2174BF4F" w:rsidR="00917BC3" w:rsidRPr="001D33A5" w:rsidRDefault="00917BC3" w:rsidP="00281C58">
            <w:pPr>
              <w:pStyle w:val="Prrafodelista"/>
              <w:numPr>
                <w:ilvl w:val="0"/>
                <w:numId w:val="3"/>
              </w:numPr>
              <w:jc w:val="both"/>
              <w:rPr>
                <w:rFonts w:ascii="Arial" w:eastAsiaTheme="minorEastAsia" w:hAnsi="Arial" w:cs="Arial"/>
                <w:sz w:val="20"/>
                <w:szCs w:val="20"/>
              </w:rPr>
            </w:pPr>
            <w:r w:rsidRPr="001D33A5">
              <w:rPr>
                <w:rFonts w:ascii="Arial" w:eastAsiaTheme="minorEastAsia" w:hAnsi="Arial" w:cs="Arial"/>
                <w:sz w:val="20"/>
                <w:szCs w:val="20"/>
              </w:rPr>
              <w:t xml:space="preserve">No se consideran las intervenciones como proyectos de inversión de solo adquisición de ambientes </w:t>
            </w:r>
            <w:r>
              <w:rPr>
                <w:rFonts w:ascii="Arial" w:eastAsiaTheme="minorEastAsia" w:hAnsi="Arial" w:cs="Arial"/>
                <w:sz w:val="20"/>
                <w:szCs w:val="20"/>
              </w:rPr>
              <w:t>de uso temporal por contingencia o emergencia (</w:t>
            </w:r>
            <w:r w:rsidRPr="001D33A5">
              <w:rPr>
                <w:rFonts w:ascii="Arial" w:eastAsiaTheme="minorEastAsia" w:hAnsi="Arial" w:cs="Arial"/>
                <w:sz w:val="20"/>
                <w:szCs w:val="20"/>
              </w:rPr>
              <w:t>prefabricados,</w:t>
            </w:r>
            <w:r>
              <w:rPr>
                <w:rFonts w:ascii="Arial" w:eastAsiaTheme="minorEastAsia" w:hAnsi="Arial" w:cs="Arial"/>
                <w:sz w:val="20"/>
                <w:szCs w:val="20"/>
              </w:rPr>
              <w:t xml:space="preserve"> ambientes precarios, etc.),</w:t>
            </w:r>
            <w:r w:rsidRPr="001D33A5">
              <w:rPr>
                <w:rFonts w:ascii="Arial" w:eastAsiaTheme="minorEastAsia" w:hAnsi="Arial" w:cs="Arial"/>
                <w:sz w:val="20"/>
                <w:szCs w:val="20"/>
              </w:rPr>
              <w:t xml:space="preserve"> dado que estos ambientes no tienen como objetivo el cierre de la brecha de infraestructura, solo se utilizan mientras se realiza el proyecto de inversión con la infraestructura definitiva para la</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w:t>
            </w:r>
          </w:p>
          <w:p w14:paraId="113572A0" w14:textId="123A1A14" w:rsidR="00917BC3" w:rsidRDefault="00917BC3" w:rsidP="00281C58">
            <w:pPr>
              <w:pStyle w:val="Prrafodelista"/>
              <w:numPr>
                <w:ilvl w:val="0"/>
                <w:numId w:val="3"/>
              </w:numPr>
              <w:jc w:val="both"/>
              <w:rPr>
                <w:rFonts w:ascii="Arial" w:eastAsiaTheme="minorEastAsia" w:hAnsi="Arial" w:cs="Arial"/>
                <w:sz w:val="20"/>
                <w:szCs w:val="20"/>
              </w:rPr>
            </w:pPr>
            <w:r w:rsidRPr="001D33A5">
              <w:rPr>
                <w:rFonts w:ascii="Arial" w:eastAsiaTheme="minorEastAsia" w:hAnsi="Arial" w:cs="Arial"/>
                <w:sz w:val="20"/>
                <w:szCs w:val="20"/>
              </w:rPr>
              <w:t>No se consideran inversiones que solo intervienen en activos intangibles, dado que estas acciones no están relacionadas a los factores productivos de infraestructura, mobiliario o equipamiento de las</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por lo que no contribuyen al cierre de brechas de infraestructura. Cabe mencionar que, a la fecha, el Sector no cuenta con activos estratégicos intangibles identificados.</w:t>
            </w:r>
          </w:p>
          <w:p w14:paraId="318D14B9" w14:textId="77777777" w:rsidR="00917BC3" w:rsidRPr="00332677" w:rsidRDefault="00917BC3" w:rsidP="00281C58">
            <w:pPr>
              <w:pStyle w:val="Prrafodelista"/>
              <w:numPr>
                <w:ilvl w:val="0"/>
                <w:numId w:val="3"/>
              </w:numPr>
              <w:jc w:val="both"/>
              <w:rPr>
                <w:rFonts w:ascii="Arial" w:eastAsiaTheme="minorEastAsia" w:hAnsi="Arial" w:cs="Arial"/>
                <w:sz w:val="20"/>
                <w:szCs w:val="20"/>
              </w:rPr>
            </w:pPr>
            <w:r w:rsidRPr="00332677">
              <w:rPr>
                <w:rFonts w:ascii="Arial" w:eastAsiaTheme="minorEastAsia" w:hAnsi="Arial" w:cs="Arial"/>
                <w:sz w:val="20"/>
                <w:szCs w:val="20"/>
              </w:rPr>
              <w:t xml:space="preserve">No se consideran inversiones con estado “Activo” y con situación “No viable” o “No Aprobado”, ni se consideran inversiones con estado “Cerrado” y no culminado en el Formato N°9 Registro de Cierre de Inversión. </w:t>
            </w:r>
          </w:p>
          <w:p w14:paraId="1ED81125" w14:textId="1AA9090A" w:rsidR="00917BC3" w:rsidRPr="00281C58" w:rsidRDefault="00917BC3" w:rsidP="00281C58">
            <w:pPr>
              <w:pStyle w:val="Prrafodelista"/>
              <w:numPr>
                <w:ilvl w:val="0"/>
                <w:numId w:val="3"/>
              </w:numPr>
              <w:jc w:val="both"/>
              <w:rPr>
                <w:rFonts w:ascii="Arial" w:eastAsiaTheme="minorEastAsia" w:hAnsi="Arial" w:cs="Arial"/>
                <w:sz w:val="20"/>
                <w:szCs w:val="20"/>
              </w:rPr>
            </w:pPr>
            <w:r w:rsidRPr="00332677">
              <w:rPr>
                <w:rFonts w:ascii="Arial" w:eastAsiaTheme="minorEastAsia" w:hAnsi="Arial" w:cs="Arial"/>
                <w:sz w:val="20"/>
                <w:szCs w:val="20"/>
              </w:rPr>
              <w:t xml:space="preserve">No se consideran inversiones que se encuentren en estado “en idea” o “en registro” por no contar con suficiente información registrada en los formatos del Banco de inversiones. </w:t>
            </w:r>
          </w:p>
          <w:p w14:paraId="4A7B19D9" w14:textId="77777777" w:rsidR="00917BC3" w:rsidRPr="001D33A5" w:rsidRDefault="00917BC3" w:rsidP="001D33A5">
            <w:pPr>
              <w:pStyle w:val="Prrafodelista"/>
              <w:jc w:val="both"/>
              <w:rPr>
                <w:rFonts w:ascii="Arial" w:eastAsiaTheme="minorEastAsia" w:hAnsi="Arial" w:cs="Arial"/>
                <w:sz w:val="20"/>
                <w:szCs w:val="20"/>
              </w:rPr>
            </w:pPr>
          </w:p>
          <w:p w14:paraId="6F9B7CBC" w14:textId="77777777" w:rsidR="00917BC3" w:rsidRPr="001D33A5" w:rsidRDefault="00917BC3" w:rsidP="003A2BD2">
            <w:pPr>
              <w:pStyle w:val="Prrafodelista"/>
              <w:numPr>
                <w:ilvl w:val="0"/>
                <w:numId w:val="2"/>
              </w:numPr>
              <w:autoSpaceDE w:val="0"/>
              <w:autoSpaceDN w:val="0"/>
              <w:ind w:left="589" w:hanging="567"/>
              <w:jc w:val="both"/>
              <w:rPr>
                <w:rFonts w:ascii="Arial" w:eastAsiaTheme="minorEastAsia" w:hAnsi="Arial" w:cs="Arial"/>
                <w:sz w:val="20"/>
                <w:szCs w:val="20"/>
              </w:rPr>
            </w:pPr>
            <w:r w:rsidRPr="001D33A5">
              <w:rPr>
                <w:rFonts w:ascii="Arial" w:eastAsiaTheme="minorEastAsia" w:hAnsi="Arial" w:cs="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3B0D2F82" w14:textId="77777777" w:rsidR="00917BC3" w:rsidRPr="001D33A5" w:rsidRDefault="00917BC3" w:rsidP="001D33A5">
            <w:pPr>
              <w:pStyle w:val="Prrafodelista"/>
              <w:rPr>
                <w:rFonts w:ascii="Arial" w:eastAsiaTheme="minorEastAsia" w:hAnsi="Arial" w:cs="Arial"/>
                <w:sz w:val="20"/>
                <w:szCs w:val="20"/>
              </w:rPr>
            </w:pPr>
          </w:p>
          <w:p w14:paraId="03E467C5" w14:textId="12807E87" w:rsidR="00917BC3" w:rsidRPr="001D33A5" w:rsidRDefault="00917BC3" w:rsidP="00281C58">
            <w:pPr>
              <w:pStyle w:val="Prrafodelista"/>
              <w:numPr>
                <w:ilvl w:val="0"/>
                <w:numId w:val="12"/>
              </w:numPr>
              <w:jc w:val="both"/>
              <w:rPr>
                <w:rFonts w:ascii="Arial" w:eastAsiaTheme="minorEastAsia" w:hAnsi="Arial" w:cs="Arial"/>
                <w:sz w:val="20"/>
                <w:szCs w:val="20"/>
              </w:rPr>
            </w:pPr>
            <w:r w:rsidRPr="001D33A5">
              <w:rPr>
                <w:rFonts w:ascii="Arial" w:eastAsiaTheme="minorEastAsia" w:hAnsi="Arial" w:cs="Arial"/>
                <w:sz w:val="20"/>
                <w:szCs w:val="20"/>
              </w:rPr>
              <w:t>En caso la</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 xml:space="preserve"> se encuentre en la </w:t>
            </w:r>
            <w:r w:rsidRPr="0047354B">
              <w:rPr>
                <w:rFonts w:ascii="Arial" w:eastAsiaTheme="minorEastAsia" w:hAnsi="Arial" w:cs="Arial"/>
                <w:sz w:val="20"/>
                <w:szCs w:val="20"/>
              </w:rPr>
              <w:t>Base de datos del estado de las unidades productoras en el marco del SNPMGI</w:t>
            </w:r>
            <w:r>
              <w:rPr>
                <w:rFonts w:ascii="Arial" w:eastAsiaTheme="minorEastAsia" w:hAnsi="Arial" w:cs="Arial"/>
                <w:sz w:val="20"/>
                <w:szCs w:val="20"/>
              </w:rPr>
              <w:t xml:space="preserve"> </w:t>
            </w:r>
            <w:r w:rsidRPr="001D33A5">
              <w:rPr>
                <w:rFonts w:ascii="Arial" w:eastAsiaTheme="minorEastAsia" w:hAnsi="Arial" w:cs="Arial"/>
                <w:sz w:val="20"/>
                <w:szCs w:val="20"/>
              </w:rPr>
              <w:t xml:space="preserve">y en la  Base de Datos de Monitoreo del Plan Nacional de Infraestructura Educativa, se priorizará la información de la </w:t>
            </w:r>
            <w:r w:rsidRPr="0047354B">
              <w:rPr>
                <w:rFonts w:ascii="Arial" w:eastAsiaTheme="minorEastAsia" w:hAnsi="Arial" w:cs="Arial"/>
                <w:sz w:val="20"/>
                <w:szCs w:val="20"/>
              </w:rPr>
              <w:t>Base de datos del estado de las unidades productoras en el marco del SNPMGI</w:t>
            </w:r>
            <w:r w:rsidRPr="001D33A5">
              <w:rPr>
                <w:rFonts w:ascii="Arial" w:eastAsiaTheme="minorEastAsia" w:hAnsi="Arial" w:cs="Arial"/>
                <w:sz w:val="20"/>
                <w:szCs w:val="20"/>
              </w:rPr>
              <w:t>, ya que esta estima el estado de las</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 xml:space="preserve"> con mayor precisión al ser el resultado de un análisis de las variables registradas por las UF y UEI </w:t>
            </w:r>
            <w:r>
              <w:rPr>
                <w:rFonts w:ascii="Arial" w:eastAsiaTheme="minorEastAsia" w:hAnsi="Arial" w:cs="Arial"/>
                <w:sz w:val="20"/>
                <w:szCs w:val="20"/>
              </w:rPr>
              <w:t>en los aplicativos informáticos del SNPMGI</w:t>
            </w:r>
            <w:r w:rsidRPr="001D33A5">
              <w:rPr>
                <w:rFonts w:ascii="Arial" w:eastAsiaTheme="minorEastAsia" w:hAnsi="Arial" w:cs="Arial"/>
                <w:sz w:val="20"/>
                <w:szCs w:val="20"/>
              </w:rPr>
              <w:t xml:space="preserve">. Esta base de datos es actualizada anualmente.   </w:t>
            </w:r>
          </w:p>
          <w:p w14:paraId="6C6DA65D" w14:textId="337EDE08" w:rsidR="00917BC3" w:rsidRPr="001D33A5" w:rsidRDefault="00917BC3" w:rsidP="00281C58">
            <w:pPr>
              <w:pStyle w:val="Prrafodelista"/>
              <w:numPr>
                <w:ilvl w:val="0"/>
                <w:numId w:val="12"/>
              </w:numPr>
              <w:jc w:val="both"/>
              <w:rPr>
                <w:rFonts w:ascii="Arial" w:eastAsiaTheme="minorEastAsia" w:hAnsi="Arial" w:cs="Arial"/>
                <w:sz w:val="20"/>
                <w:szCs w:val="20"/>
              </w:rPr>
            </w:pPr>
            <w:r w:rsidRPr="001D33A5">
              <w:rPr>
                <w:rFonts w:ascii="Arial" w:eastAsiaTheme="minorEastAsia" w:hAnsi="Arial" w:cs="Arial"/>
                <w:sz w:val="20"/>
                <w:szCs w:val="20"/>
              </w:rPr>
              <w:t>En caso la</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 xml:space="preserve"> se </w:t>
            </w:r>
            <w:r>
              <w:rPr>
                <w:rFonts w:ascii="Arial" w:eastAsiaTheme="minorEastAsia" w:hAnsi="Arial" w:cs="Arial"/>
                <w:sz w:val="20"/>
                <w:szCs w:val="20"/>
              </w:rPr>
              <w:t>identifique</w:t>
            </w:r>
            <w:r w:rsidRPr="001D33A5">
              <w:rPr>
                <w:rFonts w:ascii="Arial" w:eastAsiaTheme="minorEastAsia" w:hAnsi="Arial" w:cs="Arial"/>
                <w:sz w:val="20"/>
                <w:szCs w:val="20"/>
              </w:rPr>
              <w:t xml:space="preserve"> en la base de datos de monitoreo del </w:t>
            </w:r>
            <w:r>
              <w:rPr>
                <w:rFonts w:ascii="Arial" w:eastAsiaTheme="minorEastAsia" w:hAnsi="Arial" w:cs="Arial"/>
                <w:sz w:val="20"/>
                <w:szCs w:val="20"/>
              </w:rPr>
              <w:t>estado de la infraestructura de los locales educativos de la DIPLAN</w:t>
            </w:r>
            <w:r w:rsidRPr="001D33A5">
              <w:rPr>
                <w:rFonts w:ascii="Arial" w:eastAsiaTheme="minorEastAsia" w:hAnsi="Arial" w:cs="Arial"/>
                <w:sz w:val="20"/>
                <w:szCs w:val="20"/>
              </w:rPr>
              <w:t xml:space="preserve"> y también en la base del Censo Escolar, se priorizará la información de la Base de Datos </w:t>
            </w:r>
            <w:r>
              <w:rPr>
                <w:rFonts w:ascii="Arial" w:eastAsiaTheme="minorEastAsia" w:hAnsi="Arial" w:cs="Arial"/>
                <w:sz w:val="20"/>
                <w:szCs w:val="20"/>
              </w:rPr>
              <w:t>del estado de la infraestructura de los locales educativos de la DIPLAN</w:t>
            </w:r>
            <w:r w:rsidRPr="001D33A5">
              <w:rPr>
                <w:rFonts w:ascii="Arial" w:eastAsiaTheme="minorEastAsia" w:hAnsi="Arial" w:cs="Arial"/>
                <w:sz w:val="20"/>
                <w:szCs w:val="20"/>
              </w:rPr>
              <w:t xml:space="preserve">, ya que esta es la fuente oficial técnica en cuanto al estado de la infraestructura educativa y la base del Censo Educativo es una base cuyo registro lo realizan los directores de las instituciones educativas. </w:t>
            </w:r>
          </w:p>
          <w:p w14:paraId="459427A9" w14:textId="2518B824" w:rsidR="00917BC3" w:rsidRPr="001D33A5" w:rsidRDefault="00917BC3" w:rsidP="00281C58">
            <w:pPr>
              <w:pStyle w:val="Prrafodelista"/>
              <w:numPr>
                <w:ilvl w:val="0"/>
                <w:numId w:val="12"/>
              </w:numPr>
              <w:jc w:val="both"/>
              <w:rPr>
                <w:rFonts w:ascii="Arial" w:eastAsiaTheme="minorEastAsia" w:hAnsi="Arial" w:cs="Arial"/>
                <w:sz w:val="20"/>
                <w:szCs w:val="20"/>
              </w:rPr>
            </w:pPr>
            <w:r w:rsidRPr="001D33A5">
              <w:rPr>
                <w:rFonts w:ascii="Arial" w:eastAsiaTheme="minorEastAsia" w:hAnsi="Arial" w:cs="Arial"/>
                <w:sz w:val="20"/>
                <w:szCs w:val="20"/>
              </w:rPr>
              <w:lastRenderedPageBreak/>
              <w:t>En caso la</w:t>
            </w:r>
            <w:r>
              <w:rPr>
                <w:rFonts w:ascii="Arial" w:eastAsiaTheme="minorEastAsia" w:hAnsi="Arial" w:cs="Arial"/>
                <w:sz w:val="20"/>
                <w:szCs w:val="20"/>
              </w:rPr>
              <w:t xml:space="preserve"> instalación educativa</w:t>
            </w:r>
            <w:r w:rsidRPr="001D33A5">
              <w:rPr>
                <w:rFonts w:ascii="Arial" w:eastAsiaTheme="minorEastAsia" w:hAnsi="Arial" w:cs="Arial"/>
                <w:sz w:val="20"/>
                <w:szCs w:val="20"/>
              </w:rPr>
              <w:t xml:space="preserve"> solo se encuentre en el Censo Educativo, se tomará esta información. Cabe señalar que este censo se realiza anualmente y recoge información detallada de las instituciones educativas, públicas y privadas, de todo el país, según lo declarado y registrado por el director de la institución educativa.</w:t>
            </w:r>
          </w:p>
          <w:p w14:paraId="709CE5CC" w14:textId="77777777" w:rsidR="00917BC3" w:rsidRDefault="00917BC3" w:rsidP="001D33A5">
            <w:pPr>
              <w:ind w:left="720"/>
              <w:jc w:val="both"/>
              <w:rPr>
                <w:rFonts w:ascii="Arial" w:eastAsiaTheme="minorEastAsia" w:hAnsi="Arial" w:cs="Arial"/>
                <w:sz w:val="20"/>
                <w:szCs w:val="20"/>
              </w:rPr>
            </w:pPr>
          </w:p>
          <w:p w14:paraId="5FC24B32" w14:textId="4D7EAFF7" w:rsidR="00917BC3" w:rsidRPr="001D33A5" w:rsidRDefault="00917BC3" w:rsidP="001D33A5">
            <w:pPr>
              <w:ind w:left="720"/>
              <w:jc w:val="both"/>
              <w:rPr>
                <w:rFonts w:ascii="Arial" w:eastAsiaTheme="minorEastAsia" w:hAnsi="Arial" w:cs="Arial"/>
                <w:sz w:val="20"/>
                <w:szCs w:val="20"/>
              </w:rPr>
            </w:pPr>
            <w:r w:rsidRPr="001D33A5">
              <w:rPr>
                <w:rFonts w:ascii="Arial" w:eastAsiaTheme="minorEastAsia" w:hAnsi="Arial" w:cs="Arial"/>
                <w:sz w:val="20"/>
                <w:szCs w:val="20"/>
              </w:rPr>
              <w:t>En resumen, el nivel de confianza y precisión sobre el estado de las</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xml:space="preserve"> de acuerdo con lo expuesto guarda la siguiente relación: A&gt;B&gt;C.</w:t>
            </w:r>
          </w:p>
          <w:p w14:paraId="3F34E963" w14:textId="77777777" w:rsidR="00FE28A1" w:rsidRDefault="00FE28A1" w:rsidP="001D33A5">
            <w:pPr>
              <w:pStyle w:val="Prrafodelista"/>
              <w:autoSpaceDE w:val="0"/>
              <w:autoSpaceDN w:val="0"/>
              <w:jc w:val="both"/>
              <w:rPr>
                <w:rFonts w:ascii="Arial" w:eastAsiaTheme="minorEastAsia" w:hAnsi="Arial" w:cs="Arial"/>
                <w:sz w:val="20"/>
                <w:szCs w:val="20"/>
              </w:rPr>
            </w:pPr>
          </w:p>
          <w:p w14:paraId="3BCB9DF9" w14:textId="77777777" w:rsidR="00917BC3" w:rsidRPr="001D33A5" w:rsidRDefault="00917BC3" w:rsidP="001D33A5">
            <w:pPr>
              <w:pStyle w:val="Prrafodelista"/>
              <w:autoSpaceDE w:val="0"/>
              <w:autoSpaceDN w:val="0"/>
              <w:jc w:val="both"/>
              <w:rPr>
                <w:rFonts w:ascii="Arial" w:eastAsiaTheme="minorEastAsia" w:hAnsi="Arial" w:cs="Arial"/>
                <w:sz w:val="20"/>
                <w:szCs w:val="20"/>
              </w:rPr>
            </w:pPr>
            <w:r w:rsidRPr="001D33A5">
              <w:rPr>
                <w:rFonts w:ascii="Arial" w:eastAsiaTheme="minorEastAsia" w:hAnsi="Arial" w:cs="Arial"/>
                <w:sz w:val="20"/>
                <w:szCs w:val="20"/>
              </w:rPr>
              <w:t>Donde:</w:t>
            </w:r>
          </w:p>
          <w:p w14:paraId="0D782703" w14:textId="77777777" w:rsidR="00917BC3" w:rsidRPr="001D33A5" w:rsidRDefault="00917BC3" w:rsidP="001D33A5">
            <w:pPr>
              <w:pStyle w:val="Prrafodelista"/>
              <w:ind w:left="1068"/>
              <w:rPr>
                <w:rFonts w:ascii="Arial" w:hAnsi="Arial" w:cs="Arial"/>
                <w:sz w:val="20"/>
                <w:szCs w:val="20"/>
              </w:rPr>
            </w:pPr>
          </w:p>
          <w:p w14:paraId="557D517D" w14:textId="32128518" w:rsidR="00917BC3" w:rsidRPr="001D33A5" w:rsidRDefault="00917BC3" w:rsidP="001D33A5">
            <w:pPr>
              <w:pStyle w:val="Prrafodelista"/>
              <w:ind w:left="1068"/>
              <w:rPr>
                <w:rFonts w:ascii="Arial" w:hAnsi="Arial" w:cs="Arial"/>
                <w:sz w:val="20"/>
                <w:szCs w:val="20"/>
              </w:rPr>
            </w:pPr>
            <w:r w:rsidRPr="001D33A5">
              <w:rPr>
                <w:rFonts w:ascii="Arial" w:hAnsi="Arial" w:cs="Arial"/>
                <w:sz w:val="20"/>
                <w:szCs w:val="20"/>
              </w:rPr>
              <w:t>A: “</w:t>
            </w:r>
            <w:r w:rsidRPr="0047354B">
              <w:rPr>
                <w:rFonts w:ascii="Arial" w:hAnsi="Arial" w:cs="Arial"/>
                <w:sz w:val="20"/>
                <w:szCs w:val="20"/>
              </w:rPr>
              <w:t>Base de datos del estado de las unidades productoras en el marco del SNPMGI</w:t>
            </w:r>
            <w:r w:rsidRPr="001D33A5">
              <w:rPr>
                <w:rFonts w:ascii="Arial" w:hAnsi="Arial" w:cs="Arial"/>
                <w:sz w:val="20"/>
                <w:szCs w:val="20"/>
              </w:rPr>
              <w:t>.”</w:t>
            </w:r>
          </w:p>
          <w:p w14:paraId="43AC197A" w14:textId="17086A8A" w:rsidR="00917BC3" w:rsidRPr="001D33A5" w:rsidRDefault="00917BC3" w:rsidP="001D33A5">
            <w:pPr>
              <w:pStyle w:val="Prrafodelista"/>
              <w:ind w:left="1068"/>
              <w:jc w:val="both"/>
              <w:rPr>
                <w:rFonts w:ascii="Arial" w:hAnsi="Arial" w:cs="Arial"/>
                <w:sz w:val="20"/>
                <w:szCs w:val="20"/>
              </w:rPr>
            </w:pPr>
            <w:r w:rsidRPr="001D33A5">
              <w:rPr>
                <w:rFonts w:ascii="Arial" w:hAnsi="Arial" w:cs="Arial"/>
                <w:sz w:val="20"/>
                <w:szCs w:val="20"/>
              </w:rPr>
              <w:t xml:space="preserve">B: "Base de Datos </w:t>
            </w:r>
            <w:r>
              <w:rPr>
                <w:rFonts w:ascii="Arial" w:hAnsi="Arial" w:cs="Arial"/>
                <w:sz w:val="20"/>
                <w:szCs w:val="20"/>
              </w:rPr>
              <w:t>del estado de la infraestructura de los locales educativos de la DIPLAN</w:t>
            </w:r>
            <w:r w:rsidRPr="001D33A5" w:rsidDel="008F2B82">
              <w:rPr>
                <w:rFonts w:ascii="Arial" w:hAnsi="Arial" w:cs="Arial"/>
                <w:sz w:val="20"/>
                <w:szCs w:val="20"/>
              </w:rPr>
              <w:t xml:space="preserve"> </w:t>
            </w:r>
            <w:r w:rsidRPr="001D33A5">
              <w:rPr>
                <w:rFonts w:ascii="Arial" w:hAnsi="Arial" w:cs="Arial"/>
                <w:sz w:val="20"/>
                <w:szCs w:val="20"/>
              </w:rPr>
              <w:t>"</w:t>
            </w:r>
          </w:p>
          <w:p w14:paraId="3C5A3AD5" w14:textId="77777777" w:rsidR="00917BC3" w:rsidRPr="001D33A5" w:rsidRDefault="00917BC3" w:rsidP="001D33A5">
            <w:pPr>
              <w:pStyle w:val="Prrafodelista"/>
              <w:ind w:left="1068"/>
              <w:jc w:val="both"/>
              <w:rPr>
                <w:rFonts w:ascii="Arial" w:hAnsi="Arial" w:cs="Arial"/>
                <w:sz w:val="20"/>
                <w:szCs w:val="20"/>
                <w:lang w:val="es-MX"/>
              </w:rPr>
            </w:pPr>
            <w:r w:rsidRPr="001D33A5">
              <w:rPr>
                <w:rFonts w:ascii="Arial" w:hAnsi="Arial" w:cs="Arial"/>
                <w:sz w:val="20"/>
                <w:szCs w:val="20"/>
              </w:rPr>
              <w:t>C: “Censo Educativo”</w:t>
            </w:r>
          </w:p>
          <w:p w14:paraId="6C8FCB3A" w14:textId="77777777" w:rsidR="00917BC3" w:rsidRPr="001D33A5" w:rsidRDefault="00917BC3" w:rsidP="001D33A5">
            <w:pPr>
              <w:pStyle w:val="Prrafodelista"/>
              <w:autoSpaceDE w:val="0"/>
              <w:autoSpaceDN w:val="0"/>
              <w:jc w:val="both"/>
              <w:rPr>
                <w:rFonts w:ascii="Arial" w:eastAsiaTheme="minorEastAsia" w:hAnsi="Arial" w:cs="Arial"/>
                <w:sz w:val="20"/>
                <w:szCs w:val="20"/>
              </w:rPr>
            </w:pPr>
          </w:p>
          <w:p w14:paraId="637465B5" w14:textId="77777777" w:rsidR="00917BC3" w:rsidRPr="001D33A5" w:rsidRDefault="00917BC3" w:rsidP="00281C58">
            <w:pPr>
              <w:pStyle w:val="Prrafodelista"/>
              <w:numPr>
                <w:ilvl w:val="0"/>
                <w:numId w:val="2"/>
              </w:numPr>
              <w:autoSpaceDE w:val="0"/>
              <w:autoSpaceDN w:val="0"/>
              <w:ind w:left="589" w:hanging="567"/>
              <w:jc w:val="both"/>
              <w:rPr>
                <w:rFonts w:ascii="Arial" w:eastAsiaTheme="minorEastAsia" w:hAnsi="Arial" w:cs="Arial"/>
                <w:sz w:val="20"/>
                <w:szCs w:val="20"/>
              </w:rPr>
            </w:pPr>
            <w:r w:rsidRPr="001D33A5">
              <w:rPr>
                <w:rFonts w:ascii="Arial" w:eastAsiaTheme="minorEastAsia" w:hAnsi="Arial" w:cs="Arial"/>
                <w:sz w:val="20"/>
                <w:szCs w:val="20"/>
              </w:rPr>
              <w:t>Se considera como año de línea base el año 2022, debido a que es el año en que se modifica y mide por primera vez el indicador.</w:t>
            </w:r>
          </w:p>
          <w:p w14:paraId="036EB17E" w14:textId="77777777" w:rsidR="00917BC3" w:rsidRPr="001D33A5" w:rsidRDefault="00917BC3" w:rsidP="00281C58">
            <w:pPr>
              <w:pStyle w:val="Prrafodelista"/>
              <w:autoSpaceDE w:val="0"/>
              <w:autoSpaceDN w:val="0"/>
              <w:ind w:left="589"/>
              <w:jc w:val="both"/>
              <w:rPr>
                <w:rFonts w:ascii="Arial" w:eastAsiaTheme="minorEastAsia" w:hAnsi="Arial" w:cs="Arial"/>
                <w:sz w:val="20"/>
                <w:szCs w:val="20"/>
              </w:rPr>
            </w:pPr>
          </w:p>
          <w:p w14:paraId="489BCEFE" w14:textId="1538D8B1" w:rsidR="00917BC3" w:rsidRPr="001D33A5" w:rsidRDefault="00917BC3" w:rsidP="00281C58">
            <w:pPr>
              <w:pStyle w:val="Prrafodelista"/>
              <w:numPr>
                <w:ilvl w:val="0"/>
                <w:numId w:val="2"/>
              </w:numPr>
              <w:autoSpaceDE w:val="0"/>
              <w:autoSpaceDN w:val="0"/>
              <w:ind w:left="589" w:hanging="567"/>
              <w:jc w:val="both"/>
              <w:rPr>
                <w:rFonts w:ascii="Arial" w:eastAsiaTheme="minorEastAsia" w:hAnsi="Arial" w:cs="Arial"/>
                <w:sz w:val="20"/>
                <w:szCs w:val="20"/>
              </w:rPr>
            </w:pPr>
            <w:r w:rsidRPr="001D33A5">
              <w:rPr>
                <w:rFonts w:ascii="Arial" w:eastAsiaTheme="minorEastAsia" w:hAnsi="Arial" w:cs="Arial"/>
                <w:sz w:val="20"/>
                <w:szCs w:val="20"/>
              </w:rPr>
              <w:t>El universo de</w:t>
            </w:r>
            <w:r>
              <w:rPr>
                <w:rFonts w:ascii="Arial" w:eastAsiaTheme="minorEastAsia" w:hAnsi="Arial" w:cs="Arial"/>
                <w:sz w:val="20"/>
                <w:szCs w:val="20"/>
              </w:rPr>
              <w:t xml:space="preserve"> instalaciones educativas</w:t>
            </w:r>
            <w:r w:rsidRPr="001D33A5">
              <w:rPr>
                <w:rFonts w:ascii="Arial" w:eastAsiaTheme="minorEastAsia" w:hAnsi="Arial" w:cs="Arial"/>
                <w:sz w:val="20"/>
                <w:szCs w:val="20"/>
              </w:rPr>
              <w:t xml:space="preserve"> asociad</w:t>
            </w:r>
            <w:r>
              <w:rPr>
                <w:rFonts w:ascii="Arial" w:eastAsiaTheme="minorEastAsia" w:hAnsi="Arial" w:cs="Arial"/>
                <w:sz w:val="20"/>
                <w:szCs w:val="20"/>
              </w:rPr>
              <w:t>a</w:t>
            </w:r>
            <w:r w:rsidRPr="001D33A5">
              <w:rPr>
                <w:rFonts w:ascii="Arial" w:eastAsiaTheme="minorEastAsia" w:hAnsi="Arial" w:cs="Arial"/>
                <w:sz w:val="20"/>
                <w:szCs w:val="20"/>
              </w:rPr>
              <w:t xml:space="preserve">s al servicio de secundaria </w:t>
            </w:r>
            <w:r w:rsidRPr="00281C58">
              <w:rPr>
                <w:rFonts w:ascii="Arial" w:eastAsiaTheme="minorEastAsia" w:hAnsi="Arial" w:cs="Arial"/>
                <w:sz w:val="20"/>
                <w:szCs w:val="20"/>
              </w:rPr>
              <w:t xml:space="preserve">sobre las cuales se aplicará el método de cálculo queda identificado por </w:t>
            </w:r>
            <w:r w:rsidR="00281C58" w:rsidRPr="00281C58">
              <w:rPr>
                <w:rFonts w:ascii="Arial" w:eastAsiaTheme="minorEastAsia" w:hAnsi="Arial" w:cs="Arial"/>
                <w:sz w:val="20"/>
                <w:szCs w:val="20"/>
              </w:rPr>
              <w:t>la instalación educativa</w:t>
            </w:r>
            <w:r w:rsidRPr="00281C58">
              <w:rPr>
                <w:rFonts w:ascii="Arial" w:eastAsiaTheme="minorEastAsia" w:hAnsi="Arial" w:cs="Arial"/>
                <w:sz w:val="20"/>
                <w:szCs w:val="20"/>
              </w:rPr>
              <w:t xml:space="preserve"> asociadas a las instituciones educativas </w:t>
            </w:r>
            <w:r w:rsidRPr="001D33A5">
              <w:rPr>
                <w:rFonts w:ascii="Arial" w:eastAsiaTheme="minorEastAsia" w:hAnsi="Arial" w:cs="Arial"/>
                <w:sz w:val="20"/>
                <w:szCs w:val="20"/>
              </w:rPr>
              <w:t>que desarrollan el MSE Sobresaliente.</w:t>
            </w:r>
          </w:p>
          <w:p w14:paraId="785BAF9F" w14:textId="307B5ED3" w:rsidR="00917BC3" w:rsidRPr="001D33A5" w:rsidRDefault="00917BC3" w:rsidP="001D33A5">
            <w:pPr>
              <w:rPr>
                <w:rFonts w:ascii="Arial" w:hAnsi="Arial" w:cs="Arial"/>
                <w:color w:val="FF0000"/>
                <w:sz w:val="20"/>
                <w:szCs w:val="20"/>
              </w:rPr>
            </w:pPr>
          </w:p>
        </w:tc>
      </w:tr>
      <w:tr w:rsidR="00917BC3" w:rsidRPr="001D33A5" w14:paraId="49E55D8F"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917BC3" w:rsidRPr="001D33A5" w:rsidRDefault="00917BC3" w:rsidP="001D33A5">
            <w:pPr>
              <w:rPr>
                <w:rFonts w:ascii="Arial" w:hAnsi="Arial" w:cs="Arial"/>
                <w:sz w:val="20"/>
                <w:szCs w:val="20"/>
              </w:rPr>
            </w:pPr>
            <w:r w:rsidRPr="001D33A5">
              <w:rPr>
                <w:rFonts w:ascii="Arial" w:hAnsi="Arial" w:cs="Arial"/>
                <w:b/>
                <w:bCs/>
                <w:sz w:val="20"/>
                <w:szCs w:val="20"/>
              </w:rPr>
              <w:lastRenderedPageBreak/>
              <w:t>Supuestos</w:t>
            </w:r>
          </w:p>
        </w:tc>
      </w:tr>
      <w:tr w:rsidR="00917BC3" w:rsidRPr="001D33A5" w14:paraId="0A28DBD7"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5093726F" w14:textId="77777777" w:rsidR="00917BC3" w:rsidRPr="003A2BD2" w:rsidRDefault="00917BC3" w:rsidP="003A2BD2">
            <w:pPr>
              <w:autoSpaceDE w:val="0"/>
              <w:autoSpaceDN w:val="0"/>
              <w:jc w:val="both"/>
              <w:rPr>
                <w:rFonts w:ascii="Arial" w:hAnsi="Arial" w:cs="Arial"/>
                <w:sz w:val="20"/>
                <w:szCs w:val="20"/>
              </w:rPr>
            </w:pPr>
          </w:p>
          <w:p w14:paraId="0EAB48A2" w14:textId="39E32CA5" w:rsidR="00917BC3" w:rsidRPr="001D33A5" w:rsidRDefault="00917BC3" w:rsidP="003A2BD2">
            <w:pPr>
              <w:pStyle w:val="Prrafodelista"/>
              <w:numPr>
                <w:ilvl w:val="0"/>
                <w:numId w:val="5"/>
              </w:numPr>
              <w:autoSpaceDE w:val="0"/>
              <w:autoSpaceDN w:val="0"/>
              <w:ind w:left="589" w:hanging="283"/>
              <w:jc w:val="both"/>
              <w:rPr>
                <w:rFonts w:ascii="Arial" w:hAnsi="Arial" w:cs="Arial"/>
                <w:sz w:val="20"/>
                <w:szCs w:val="20"/>
              </w:rPr>
            </w:pPr>
            <w:r w:rsidRPr="001D33A5">
              <w:rPr>
                <w:rFonts w:ascii="Arial" w:hAnsi="Arial" w:cs="Arial"/>
                <w:sz w:val="20"/>
                <w:szCs w:val="20"/>
              </w:rPr>
              <w:t xml:space="preserve">Los directores de las instituciones educativas no </w:t>
            </w:r>
            <w:r>
              <w:rPr>
                <w:rFonts w:ascii="Arial" w:hAnsi="Arial" w:cs="Arial"/>
                <w:sz w:val="20"/>
                <w:szCs w:val="20"/>
              </w:rPr>
              <w:t>realizan declaraciones falsas o erróneas</w:t>
            </w:r>
            <w:r w:rsidRPr="001D33A5">
              <w:rPr>
                <w:rFonts w:ascii="Arial" w:hAnsi="Arial" w:cs="Arial"/>
                <w:sz w:val="20"/>
                <w:szCs w:val="20"/>
              </w:rPr>
              <w:t xml:space="preserve"> en el Censo </w:t>
            </w:r>
            <w:r>
              <w:rPr>
                <w:rFonts w:ascii="Arial" w:hAnsi="Arial" w:cs="Arial"/>
                <w:sz w:val="20"/>
                <w:szCs w:val="20"/>
              </w:rPr>
              <w:t>Educativo sobre el estado situacional de las instalaciones educativas o los locales educativos</w:t>
            </w:r>
            <w:r w:rsidRPr="001D33A5">
              <w:rPr>
                <w:rFonts w:ascii="Arial" w:hAnsi="Arial" w:cs="Arial"/>
                <w:sz w:val="20"/>
                <w:szCs w:val="20"/>
              </w:rPr>
              <w:t>.</w:t>
            </w:r>
          </w:p>
          <w:p w14:paraId="5C0E2F5D" w14:textId="06ED8654" w:rsidR="00917BC3" w:rsidRPr="001D33A5" w:rsidRDefault="00917BC3" w:rsidP="003A2BD2">
            <w:pPr>
              <w:pStyle w:val="Prrafodelista"/>
              <w:numPr>
                <w:ilvl w:val="0"/>
                <w:numId w:val="5"/>
              </w:numPr>
              <w:autoSpaceDE w:val="0"/>
              <w:autoSpaceDN w:val="0"/>
              <w:ind w:left="589" w:hanging="283"/>
              <w:jc w:val="both"/>
              <w:rPr>
                <w:rFonts w:ascii="Arial" w:hAnsi="Arial" w:cs="Arial"/>
                <w:sz w:val="20"/>
                <w:szCs w:val="20"/>
              </w:rPr>
            </w:pPr>
            <w:r w:rsidRPr="001D33A5">
              <w:rPr>
                <w:rFonts w:ascii="Arial" w:hAnsi="Arial" w:cs="Arial"/>
                <w:sz w:val="20"/>
                <w:szCs w:val="20"/>
              </w:rPr>
              <w:t>Los activos estratégicos comunes entre dos o más</w:t>
            </w:r>
            <w:r>
              <w:rPr>
                <w:rFonts w:ascii="Arial" w:hAnsi="Arial" w:cs="Arial"/>
                <w:sz w:val="20"/>
                <w:szCs w:val="20"/>
              </w:rPr>
              <w:t xml:space="preserve"> instalaciones educativas que brindan diferentes servicios</w:t>
            </w:r>
            <w:r w:rsidRPr="001D33A5">
              <w:rPr>
                <w:rFonts w:ascii="Arial" w:hAnsi="Arial" w:cs="Arial"/>
                <w:sz w:val="20"/>
                <w:szCs w:val="20"/>
              </w:rPr>
              <w:t xml:space="preserve"> que se encuentran dentro de un local educativo no generan duplicidad de intervenciones o registros dentro de un inventario de activos.</w:t>
            </w:r>
          </w:p>
          <w:p w14:paraId="273BEBB0" w14:textId="5481585D" w:rsidR="00917BC3" w:rsidRPr="001D33A5" w:rsidRDefault="00281C58" w:rsidP="003A2BD2">
            <w:pPr>
              <w:pStyle w:val="Prrafodelista"/>
              <w:numPr>
                <w:ilvl w:val="0"/>
                <w:numId w:val="5"/>
              </w:numPr>
              <w:autoSpaceDE w:val="0"/>
              <w:autoSpaceDN w:val="0"/>
              <w:ind w:left="589" w:hanging="283"/>
              <w:jc w:val="both"/>
              <w:rPr>
                <w:rFonts w:ascii="Arial" w:hAnsi="Arial" w:cs="Arial"/>
                <w:sz w:val="20"/>
                <w:szCs w:val="20"/>
              </w:rPr>
            </w:pPr>
            <w:r w:rsidRPr="001D33A5">
              <w:rPr>
                <w:rFonts w:ascii="Arial" w:hAnsi="Arial" w:cs="Arial"/>
                <w:sz w:val="20"/>
                <w:szCs w:val="20"/>
              </w:rPr>
              <w:t xml:space="preserve">El valor de la sumatoria del </w:t>
            </w:r>
            <w:r>
              <w:rPr>
                <w:rFonts w:ascii="Arial" w:hAnsi="Arial" w:cs="Arial"/>
                <w:sz w:val="20"/>
                <w:szCs w:val="20"/>
              </w:rPr>
              <w:t>estado situacional</w:t>
            </w:r>
            <w:r w:rsidRPr="001D33A5">
              <w:rPr>
                <w:rFonts w:ascii="Arial" w:hAnsi="Arial" w:cs="Arial"/>
                <w:sz w:val="20"/>
                <w:szCs w:val="20"/>
              </w:rPr>
              <w:t xml:space="preserve"> de las</w:t>
            </w:r>
            <w:r>
              <w:rPr>
                <w:rFonts w:ascii="Arial" w:hAnsi="Arial" w:cs="Arial"/>
                <w:sz w:val="20"/>
                <w:szCs w:val="20"/>
              </w:rPr>
              <w:t xml:space="preserve"> instalaciones educativas</w:t>
            </w:r>
            <w:r w:rsidRPr="001D33A5">
              <w:rPr>
                <w:rFonts w:ascii="Arial" w:hAnsi="Arial" w:cs="Arial"/>
                <w:sz w:val="20"/>
                <w:szCs w:val="20"/>
              </w:rPr>
              <w:t xml:space="preserve"> de una determinada área </w:t>
            </w:r>
            <w:r>
              <w:rPr>
                <w:rFonts w:ascii="Arial" w:hAnsi="Arial" w:cs="Arial"/>
                <w:sz w:val="20"/>
                <w:szCs w:val="20"/>
              </w:rPr>
              <w:t xml:space="preserve">geográfica </w:t>
            </w:r>
            <w:r w:rsidRPr="001D33A5">
              <w:rPr>
                <w:rFonts w:ascii="Arial" w:hAnsi="Arial" w:cs="Arial"/>
                <w:sz w:val="20"/>
                <w:szCs w:val="20"/>
              </w:rPr>
              <w:t>representa</w:t>
            </w:r>
            <w:r>
              <w:rPr>
                <w:rFonts w:ascii="Arial" w:hAnsi="Arial" w:cs="Arial"/>
                <w:sz w:val="20"/>
                <w:szCs w:val="20"/>
              </w:rPr>
              <w:t xml:space="preserve"> numéricamente</w:t>
            </w:r>
            <w:r w:rsidR="00917BC3" w:rsidRPr="001D33A5">
              <w:rPr>
                <w:rFonts w:ascii="Arial" w:hAnsi="Arial" w:cs="Arial"/>
                <w:sz w:val="20"/>
                <w:szCs w:val="20"/>
              </w:rPr>
              <w:t xml:space="preserve"> la cantidad de</w:t>
            </w:r>
            <w:r w:rsidR="00917BC3">
              <w:rPr>
                <w:rFonts w:ascii="Arial" w:hAnsi="Arial" w:cs="Arial"/>
                <w:sz w:val="20"/>
                <w:szCs w:val="20"/>
              </w:rPr>
              <w:t xml:space="preserve"> instalaciones educativas</w:t>
            </w:r>
            <w:r w:rsidR="00917BC3" w:rsidRPr="001D33A5">
              <w:rPr>
                <w:rFonts w:ascii="Arial" w:hAnsi="Arial" w:cs="Arial"/>
                <w:sz w:val="20"/>
                <w:szCs w:val="20"/>
              </w:rPr>
              <w:t xml:space="preserve"> que se encuentran en estado </w:t>
            </w:r>
            <w:r w:rsidR="00917BC3">
              <w:rPr>
                <w:rFonts w:ascii="Arial" w:hAnsi="Arial" w:cs="Arial"/>
                <w:sz w:val="20"/>
                <w:szCs w:val="20"/>
              </w:rPr>
              <w:t xml:space="preserve">situacional </w:t>
            </w:r>
            <w:r w:rsidR="00917BC3" w:rsidRPr="001D33A5">
              <w:rPr>
                <w:rFonts w:ascii="Arial" w:hAnsi="Arial" w:cs="Arial"/>
                <w:sz w:val="20"/>
                <w:szCs w:val="20"/>
              </w:rPr>
              <w:t>inadecuado.</w:t>
            </w:r>
          </w:p>
          <w:p w14:paraId="26600A86" w14:textId="74EAD49F" w:rsidR="00917BC3" w:rsidRPr="001D33A5" w:rsidRDefault="00917BC3" w:rsidP="003A2BD2">
            <w:pPr>
              <w:pStyle w:val="Prrafodelista"/>
              <w:numPr>
                <w:ilvl w:val="0"/>
                <w:numId w:val="5"/>
              </w:numPr>
              <w:ind w:left="589" w:hanging="283"/>
              <w:jc w:val="both"/>
              <w:rPr>
                <w:rFonts w:ascii="Arial" w:hAnsi="Arial" w:cs="Arial"/>
                <w:sz w:val="20"/>
                <w:szCs w:val="20"/>
              </w:rPr>
            </w:pPr>
            <w:r w:rsidRPr="001D33A5">
              <w:rPr>
                <w:rFonts w:ascii="Arial" w:hAnsi="Arial" w:cs="Arial"/>
                <w:sz w:val="20"/>
                <w:szCs w:val="20"/>
              </w:rPr>
              <w:t>Las</w:t>
            </w:r>
            <w:r>
              <w:rPr>
                <w:rFonts w:ascii="Arial" w:hAnsi="Arial" w:cs="Arial"/>
                <w:sz w:val="20"/>
                <w:szCs w:val="20"/>
              </w:rPr>
              <w:t xml:space="preserve"> Unidades Formuladoras</w:t>
            </w:r>
            <w:r w:rsidRPr="001D33A5">
              <w:rPr>
                <w:rFonts w:ascii="Arial" w:hAnsi="Arial" w:cs="Arial"/>
                <w:sz w:val="20"/>
                <w:szCs w:val="20"/>
              </w:rPr>
              <w:t xml:space="preserve"> </w:t>
            </w:r>
            <w:r>
              <w:rPr>
                <w:rFonts w:ascii="Arial" w:hAnsi="Arial" w:cs="Arial"/>
                <w:sz w:val="20"/>
                <w:szCs w:val="20"/>
              </w:rPr>
              <w:t>(</w:t>
            </w:r>
            <w:r w:rsidRPr="001D33A5">
              <w:rPr>
                <w:rFonts w:ascii="Arial" w:hAnsi="Arial" w:cs="Arial"/>
                <w:sz w:val="20"/>
                <w:szCs w:val="20"/>
              </w:rPr>
              <w:t>UF</w:t>
            </w:r>
            <w:r>
              <w:rPr>
                <w:rFonts w:ascii="Arial" w:hAnsi="Arial" w:cs="Arial"/>
                <w:sz w:val="20"/>
                <w:szCs w:val="20"/>
              </w:rPr>
              <w:t>)</w:t>
            </w:r>
            <w:r w:rsidRPr="001D33A5">
              <w:rPr>
                <w:rFonts w:ascii="Arial" w:hAnsi="Arial" w:cs="Arial"/>
                <w:sz w:val="20"/>
                <w:szCs w:val="20"/>
              </w:rPr>
              <w:t xml:space="preserve"> y </w:t>
            </w:r>
            <w:r>
              <w:rPr>
                <w:rFonts w:ascii="Arial" w:hAnsi="Arial" w:cs="Arial"/>
                <w:sz w:val="20"/>
                <w:szCs w:val="20"/>
              </w:rPr>
              <w:t>Unidades Ejecutoras de Inversiones (</w:t>
            </w:r>
            <w:r w:rsidRPr="001D33A5">
              <w:rPr>
                <w:rFonts w:ascii="Arial" w:hAnsi="Arial" w:cs="Arial"/>
                <w:sz w:val="20"/>
                <w:szCs w:val="20"/>
              </w:rPr>
              <w:t>UEI</w:t>
            </w:r>
            <w:r>
              <w:rPr>
                <w:rFonts w:ascii="Arial" w:hAnsi="Arial" w:cs="Arial"/>
                <w:sz w:val="20"/>
                <w:szCs w:val="20"/>
              </w:rPr>
              <w:t>)</w:t>
            </w:r>
            <w:r w:rsidRPr="001D33A5">
              <w:rPr>
                <w:rFonts w:ascii="Arial" w:hAnsi="Arial" w:cs="Arial"/>
                <w:sz w:val="20"/>
                <w:szCs w:val="20"/>
              </w:rPr>
              <w:t xml:space="preserve"> realizan un </w:t>
            </w:r>
            <w:r>
              <w:rPr>
                <w:rFonts w:ascii="Arial" w:hAnsi="Arial" w:cs="Arial"/>
                <w:sz w:val="20"/>
                <w:szCs w:val="20"/>
              </w:rPr>
              <w:t xml:space="preserve">diagnóstico técnico y un </w:t>
            </w:r>
            <w:r w:rsidRPr="001D33A5">
              <w:rPr>
                <w:rFonts w:ascii="Arial" w:hAnsi="Arial" w:cs="Arial"/>
                <w:sz w:val="20"/>
                <w:szCs w:val="20"/>
              </w:rPr>
              <w:t xml:space="preserve">registro adecuado de las inversiones </w:t>
            </w:r>
            <w:r>
              <w:rPr>
                <w:rFonts w:ascii="Arial" w:hAnsi="Arial" w:cs="Arial"/>
                <w:sz w:val="20"/>
                <w:szCs w:val="20"/>
              </w:rPr>
              <w:t>en los aplicativos informáticos del SNPMGI.</w:t>
            </w:r>
          </w:p>
          <w:p w14:paraId="4D80837B" w14:textId="77777777" w:rsidR="00917BC3" w:rsidRPr="001D33A5" w:rsidRDefault="00917BC3" w:rsidP="003A2BD2">
            <w:pPr>
              <w:pStyle w:val="Prrafodelista"/>
              <w:numPr>
                <w:ilvl w:val="0"/>
                <w:numId w:val="5"/>
              </w:numPr>
              <w:ind w:left="589" w:hanging="283"/>
              <w:jc w:val="both"/>
              <w:rPr>
                <w:rFonts w:ascii="Arial" w:hAnsi="Arial" w:cs="Arial"/>
                <w:sz w:val="20"/>
                <w:szCs w:val="20"/>
              </w:rPr>
            </w:pPr>
            <w:r w:rsidRPr="001D33A5">
              <w:rPr>
                <w:rFonts w:ascii="Arial" w:hAnsi="Arial" w:cs="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1D33A5">
              <w:rPr>
                <w:rFonts w:ascii="Arial" w:eastAsiaTheme="minorEastAsia" w:hAnsi="Arial" w:cs="Arial"/>
                <w:sz w:val="20"/>
                <w:szCs w:val="20"/>
              </w:rPr>
              <w:t xml:space="preserve"> (</w:t>
            </w:r>
            <w:r w:rsidRPr="001D33A5">
              <w:rPr>
                <w:rFonts w:ascii="Arial" w:hAnsi="Arial" w:cs="Arial"/>
                <w:sz w:val="20"/>
                <w:szCs w:val="20"/>
              </w:rPr>
              <w:t>IOARR), así como las normas técnicas del Sector Educación y el Reglamento Nacional de Edificaciones.</w:t>
            </w:r>
          </w:p>
          <w:p w14:paraId="5640E67D" w14:textId="44EB9A83" w:rsidR="00917BC3" w:rsidRPr="001D33A5" w:rsidRDefault="00917BC3" w:rsidP="003A2BD2">
            <w:pPr>
              <w:pStyle w:val="Prrafodelista"/>
              <w:numPr>
                <w:ilvl w:val="0"/>
                <w:numId w:val="5"/>
              </w:numPr>
              <w:ind w:left="589" w:hanging="283"/>
              <w:jc w:val="both"/>
              <w:rPr>
                <w:rFonts w:ascii="Arial" w:hAnsi="Arial" w:cs="Arial"/>
                <w:sz w:val="20"/>
                <w:szCs w:val="20"/>
              </w:rPr>
            </w:pPr>
            <w:r>
              <w:rPr>
                <w:rFonts w:ascii="Arial" w:hAnsi="Arial" w:cs="Arial"/>
                <w:sz w:val="20"/>
                <w:szCs w:val="20"/>
              </w:rPr>
              <w:t>Todas las instalaciones educativas a nivel nacional cuentan con la descripción del estado situacional como adecuadas o inadecuadas</w:t>
            </w:r>
            <w:r w:rsidRPr="001D33A5">
              <w:rPr>
                <w:rFonts w:ascii="Arial" w:hAnsi="Arial" w:cs="Arial"/>
                <w:sz w:val="20"/>
                <w:szCs w:val="20"/>
              </w:rPr>
              <w:t>.</w:t>
            </w:r>
          </w:p>
          <w:p w14:paraId="53FF7498" w14:textId="64B6F214" w:rsidR="00917BC3" w:rsidRPr="001D33A5" w:rsidRDefault="00917BC3" w:rsidP="001D33A5">
            <w:pPr>
              <w:rPr>
                <w:rFonts w:ascii="Arial" w:hAnsi="Arial" w:cs="Arial"/>
                <w:color w:val="FF0000"/>
                <w:sz w:val="20"/>
                <w:szCs w:val="20"/>
              </w:rPr>
            </w:pPr>
          </w:p>
        </w:tc>
      </w:tr>
      <w:tr w:rsidR="00917BC3" w:rsidRPr="001D33A5" w14:paraId="12E7D33B"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917BC3" w:rsidRPr="001D33A5" w:rsidRDefault="00917BC3" w:rsidP="001D33A5">
            <w:pPr>
              <w:rPr>
                <w:rFonts w:ascii="Arial" w:hAnsi="Arial" w:cs="Arial"/>
                <w:sz w:val="20"/>
                <w:szCs w:val="20"/>
              </w:rPr>
            </w:pPr>
            <w:r w:rsidRPr="001D33A5">
              <w:rPr>
                <w:rFonts w:ascii="Arial" w:hAnsi="Arial" w:cs="Arial"/>
                <w:b/>
                <w:bCs/>
                <w:sz w:val="20"/>
                <w:szCs w:val="20"/>
              </w:rPr>
              <w:t>Limitaciones</w:t>
            </w:r>
          </w:p>
        </w:tc>
      </w:tr>
      <w:tr w:rsidR="00917BC3" w:rsidRPr="001D33A5" w14:paraId="0A5EBACB"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750AF981" w14:textId="77777777" w:rsidR="00917BC3" w:rsidRDefault="00917BC3" w:rsidP="003A2BD2">
            <w:pPr>
              <w:pStyle w:val="Prrafodelista"/>
              <w:ind w:left="589"/>
              <w:jc w:val="both"/>
              <w:rPr>
                <w:rFonts w:ascii="Arial" w:hAnsi="Arial" w:cs="Arial"/>
                <w:sz w:val="20"/>
                <w:szCs w:val="20"/>
              </w:rPr>
            </w:pPr>
          </w:p>
          <w:p w14:paraId="6CED8AB2" w14:textId="2126E001" w:rsidR="00917BC3" w:rsidRDefault="00917BC3" w:rsidP="001A2460">
            <w:pPr>
              <w:pStyle w:val="Prrafodelista"/>
              <w:numPr>
                <w:ilvl w:val="0"/>
                <w:numId w:val="5"/>
              </w:numPr>
              <w:ind w:left="589" w:hanging="283"/>
              <w:jc w:val="both"/>
              <w:rPr>
                <w:rFonts w:ascii="Arial" w:hAnsi="Arial" w:cs="Arial"/>
                <w:sz w:val="20"/>
                <w:szCs w:val="20"/>
              </w:rPr>
            </w:pPr>
            <w:r w:rsidRPr="001D33A5">
              <w:rPr>
                <w:rFonts w:ascii="Arial" w:hAnsi="Arial" w:cs="Arial"/>
                <w:sz w:val="20"/>
                <w:szCs w:val="20"/>
              </w:rPr>
              <w:t xml:space="preserve">Los directores de las instituciones públicas no cuentan con herramientas </w:t>
            </w:r>
            <w:r>
              <w:rPr>
                <w:rFonts w:ascii="Arial" w:hAnsi="Arial" w:cs="Arial"/>
                <w:sz w:val="20"/>
                <w:szCs w:val="20"/>
              </w:rPr>
              <w:t xml:space="preserve">suficientes </w:t>
            </w:r>
            <w:r w:rsidRPr="001D33A5">
              <w:rPr>
                <w:rFonts w:ascii="Arial" w:hAnsi="Arial" w:cs="Arial"/>
                <w:sz w:val="20"/>
                <w:szCs w:val="20"/>
              </w:rPr>
              <w:t>para diagnosticar técnicamente si la infraestructura se encuentra en buenas o malas condiciones. Esta limitación es solo aplicable para las</w:t>
            </w:r>
            <w:r>
              <w:rPr>
                <w:rFonts w:ascii="Arial" w:hAnsi="Arial" w:cs="Arial"/>
                <w:sz w:val="20"/>
                <w:szCs w:val="20"/>
              </w:rPr>
              <w:t xml:space="preserve"> instalaciones educativas</w:t>
            </w:r>
            <w:r w:rsidRPr="001D33A5">
              <w:rPr>
                <w:rFonts w:ascii="Arial" w:hAnsi="Arial" w:cs="Arial"/>
                <w:sz w:val="20"/>
                <w:szCs w:val="20"/>
              </w:rPr>
              <w:t xml:space="preserve"> cuyo estado </w:t>
            </w:r>
            <w:r>
              <w:rPr>
                <w:rFonts w:ascii="Arial" w:hAnsi="Arial" w:cs="Arial"/>
                <w:sz w:val="20"/>
                <w:szCs w:val="20"/>
              </w:rPr>
              <w:t xml:space="preserve">situacional </w:t>
            </w:r>
            <w:r w:rsidRPr="001D33A5">
              <w:rPr>
                <w:rFonts w:ascii="Arial" w:hAnsi="Arial" w:cs="Arial"/>
                <w:sz w:val="20"/>
                <w:szCs w:val="20"/>
              </w:rPr>
              <w:t xml:space="preserve">se determine en base al Censo </w:t>
            </w:r>
            <w:r>
              <w:rPr>
                <w:rFonts w:ascii="Arial" w:hAnsi="Arial" w:cs="Arial"/>
                <w:sz w:val="20"/>
                <w:szCs w:val="20"/>
              </w:rPr>
              <w:t>Educativo y</w:t>
            </w:r>
            <w:r w:rsidRPr="001D33A5">
              <w:rPr>
                <w:rFonts w:ascii="Arial" w:hAnsi="Arial" w:cs="Arial"/>
                <w:sz w:val="20"/>
                <w:szCs w:val="20"/>
              </w:rPr>
              <w:t xml:space="preserve"> </w:t>
            </w:r>
            <w:r>
              <w:rPr>
                <w:rFonts w:ascii="Arial" w:hAnsi="Arial" w:cs="Arial"/>
                <w:sz w:val="20"/>
                <w:szCs w:val="20"/>
              </w:rPr>
              <w:t>base de datos del estado de la infraestructura de los locales educativos de la DIPLAN.</w:t>
            </w:r>
          </w:p>
          <w:p w14:paraId="75EA6E4E" w14:textId="3C26FECD" w:rsidR="00917BC3" w:rsidRPr="001D33A5" w:rsidRDefault="00917BC3" w:rsidP="001A2460">
            <w:pPr>
              <w:pStyle w:val="Prrafodelista"/>
              <w:numPr>
                <w:ilvl w:val="0"/>
                <w:numId w:val="5"/>
              </w:numPr>
              <w:ind w:left="589" w:hanging="283"/>
              <w:jc w:val="both"/>
              <w:rPr>
                <w:rFonts w:ascii="Arial" w:hAnsi="Arial" w:cs="Arial"/>
                <w:sz w:val="20"/>
                <w:szCs w:val="20"/>
              </w:rPr>
            </w:pPr>
            <w:r>
              <w:rPr>
                <w:rFonts w:ascii="Arial" w:hAnsi="Arial" w:cs="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p w14:paraId="123EB2D1" w14:textId="3EB96B64" w:rsidR="00917BC3" w:rsidRPr="001D33A5" w:rsidRDefault="00917BC3" w:rsidP="001D33A5">
            <w:pPr>
              <w:rPr>
                <w:rFonts w:ascii="Arial" w:hAnsi="Arial" w:cs="Arial"/>
                <w:color w:val="FF0000"/>
                <w:sz w:val="20"/>
                <w:szCs w:val="20"/>
              </w:rPr>
            </w:pPr>
          </w:p>
        </w:tc>
      </w:tr>
      <w:tr w:rsidR="00917BC3" w:rsidRPr="001D33A5" w14:paraId="6AEBC367"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917BC3" w:rsidRPr="001D33A5" w:rsidRDefault="00917BC3" w:rsidP="001D33A5">
            <w:pPr>
              <w:rPr>
                <w:rFonts w:ascii="Arial" w:hAnsi="Arial" w:cs="Arial"/>
                <w:sz w:val="20"/>
                <w:szCs w:val="20"/>
              </w:rPr>
            </w:pPr>
            <w:r w:rsidRPr="001D33A5">
              <w:rPr>
                <w:rFonts w:ascii="Arial" w:hAnsi="Arial" w:cs="Arial"/>
                <w:b/>
                <w:bCs/>
                <w:sz w:val="20"/>
                <w:szCs w:val="20"/>
              </w:rPr>
              <w:t>Fuente de Datos</w:t>
            </w:r>
          </w:p>
        </w:tc>
      </w:tr>
      <w:tr w:rsidR="00917BC3" w:rsidRPr="001D33A5" w14:paraId="6D005D0A"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0B6FDCBC" w14:textId="77777777" w:rsidR="00917BC3" w:rsidRDefault="00917BC3" w:rsidP="001D33A5">
            <w:pPr>
              <w:jc w:val="both"/>
              <w:rPr>
                <w:rFonts w:ascii="Arial" w:hAnsi="Arial" w:cs="Arial"/>
                <w:sz w:val="20"/>
                <w:szCs w:val="20"/>
                <w:lang w:val="es-MX"/>
              </w:rPr>
            </w:pPr>
          </w:p>
          <w:p w14:paraId="7BCBB6E9" w14:textId="408A0F0B" w:rsidR="00917BC3" w:rsidRDefault="00917BC3" w:rsidP="001D33A5">
            <w:pPr>
              <w:jc w:val="both"/>
              <w:rPr>
                <w:rFonts w:ascii="Arial" w:hAnsi="Arial" w:cs="Arial"/>
                <w:sz w:val="20"/>
                <w:szCs w:val="20"/>
                <w:lang w:val="es-MX"/>
              </w:rPr>
            </w:pPr>
            <w:r w:rsidRPr="001D33A5">
              <w:rPr>
                <w:rFonts w:ascii="Arial" w:hAnsi="Arial" w:cs="Arial"/>
                <w:sz w:val="20"/>
                <w:szCs w:val="20"/>
                <w:lang w:val="es-MX"/>
              </w:rPr>
              <w:t>Responsables de información:</w:t>
            </w:r>
          </w:p>
          <w:p w14:paraId="3F882F27" w14:textId="77777777" w:rsidR="00917BC3" w:rsidRPr="001D33A5" w:rsidRDefault="00917BC3" w:rsidP="001D33A5">
            <w:pPr>
              <w:jc w:val="both"/>
              <w:rPr>
                <w:rFonts w:ascii="Arial" w:hAnsi="Arial" w:cs="Arial"/>
                <w:sz w:val="20"/>
                <w:szCs w:val="20"/>
                <w:lang w:val="es-MX"/>
              </w:rPr>
            </w:pPr>
          </w:p>
          <w:p w14:paraId="757E8CFF" w14:textId="77777777" w:rsidR="00917BC3" w:rsidRPr="00FA2799" w:rsidRDefault="00917BC3" w:rsidP="003E5088">
            <w:pPr>
              <w:pStyle w:val="Prrafodelista"/>
              <w:numPr>
                <w:ilvl w:val="0"/>
                <w:numId w:val="6"/>
              </w:numPr>
              <w:ind w:left="589" w:hanging="283"/>
              <w:jc w:val="both"/>
              <w:rPr>
                <w:rFonts w:ascii="Arial" w:hAnsi="Arial" w:cs="Arial"/>
                <w:sz w:val="20"/>
                <w:szCs w:val="20"/>
                <w:lang w:val="es-MX"/>
              </w:rPr>
            </w:pPr>
            <w:r w:rsidRPr="00F6671E">
              <w:rPr>
                <w:rFonts w:ascii="Arial" w:hAnsi="Arial" w:cs="Arial"/>
                <w:sz w:val="20"/>
                <w:szCs w:val="20"/>
                <w:lang w:val="es-MX"/>
              </w:rPr>
              <w:t>Unidad de Programación e Inversiones, a través del seguimiento del avance de la ejecución de las inversiones que realiza en apoyo al Órgano Resolutivo del Sector.</w:t>
            </w:r>
          </w:p>
          <w:p w14:paraId="4C9C1831" w14:textId="77777777" w:rsidR="009618A9" w:rsidRDefault="00917BC3" w:rsidP="009618A9">
            <w:pPr>
              <w:pStyle w:val="Prrafodelista"/>
              <w:ind w:left="589"/>
              <w:jc w:val="both"/>
              <w:rPr>
                <w:rFonts w:ascii="Arial" w:hAnsi="Arial" w:cs="Arial"/>
                <w:sz w:val="20"/>
                <w:szCs w:val="20"/>
                <w:lang w:val="es-MX"/>
              </w:rPr>
            </w:pPr>
            <w:r w:rsidRPr="00F6671E">
              <w:rPr>
                <w:rFonts w:ascii="Arial" w:hAnsi="Arial" w:cs="Arial"/>
                <w:sz w:val="20"/>
                <w:szCs w:val="20"/>
                <w:lang w:val="es-MX"/>
              </w:rPr>
              <w:lastRenderedPageBreak/>
              <w:t xml:space="preserve">Nombre de la base de datos: </w:t>
            </w:r>
            <w:r w:rsidRPr="005E20DF">
              <w:rPr>
                <w:rFonts w:ascii="Arial" w:hAnsi="Arial" w:cs="Arial"/>
                <w:sz w:val="20"/>
                <w:szCs w:val="20"/>
                <w:lang w:val="es-MX"/>
              </w:rPr>
              <w:t xml:space="preserve">Base de datos del </w:t>
            </w:r>
            <w:r>
              <w:rPr>
                <w:rFonts w:ascii="Arial" w:hAnsi="Arial" w:cs="Arial"/>
                <w:sz w:val="20"/>
                <w:szCs w:val="20"/>
                <w:lang w:val="es-MX"/>
              </w:rPr>
              <w:t>e</w:t>
            </w:r>
            <w:r w:rsidRPr="005E20DF">
              <w:rPr>
                <w:rFonts w:ascii="Arial" w:hAnsi="Arial" w:cs="Arial"/>
                <w:sz w:val="20"/>
                <w:szCs w:val="20"/>
                <w:lang w:val="es-MX"/>
              </w:rPr>
              <w:t>stado de las unidades productoras en el marco del SNPMGI</w:t>
            </w:r>
            <w:r w:rsidRPr="00F6671E">
              <w:rPr>
                <w:rFonts w:ascii="Arial" w:hAnsi="Arial" w:cs="Arial"/>
                <w:sz w:val="20"/>
                <w:szCs w:val="20"/>
                <w:lang w:val="es-MX"/>
              </w:rPr>
              <w:t>.</w:t>
            </w:r>
          </w:p>
          <w:p w14:paraId="346D42EE" w14:textId="75B8C64B" w:rsidR="00917BC3" w:rsidRPr="00281C58" w:rsidRDefault="00917BC3" w:rsidP="00281C58">
            <w:pPr>
              <w:pStyle w:val="Prrafodelista"/>
              <w:numPr>
                <w:ilvl w:val="0"/>
                <w:numId w:val="6"/>
              </w:numPr>
              <w:ind w:left="589" w:hanging="283"/>
              <w:jc w:val="both"/>
              <w:rPr>
                <w:rFonts w:ascii="Arial" w:hAnsi="Arial" w:cs="Arial"/>
                <w:sz w:val="20"/>
                <w:szCs w:val="20"/>
                <w:lang w:val="es-MX"/>
              </w:rPr>
            </w:pPr>
            <w:r w:rsidRPr="00281C58">
              <w:rPr>
                <w:rFonts w:ascii="Arial" w:hAnsi="Arial" w:cs="Arial"/>
                <w:sz w:val="20"/>
                <w:szCs w:val="20"/>
                <w:lang w:val="es-MX"/>
              </w:rPr>
              <w:t>Dirección de Planificación de Inversiones, a través del seguimiento y evaluación a la implementación de las políticas y planes en materia de Infraestructura Educativa</w:t>
            </w:r>
            <w:r w:rsidRPr="00281C58" w:rsidDel="00E97A4F">
              <w:rPr>
                <w:rFonts w:ascii="Arial" w:hAnsi="Arial" w:cs="Arial"/>
                <w:sz w:val="20"/>
                <w:szCs w:val="20"/>
                <w:lang w:val="es-MX"/>
              </w:rPr>
              <w:t xml:space="preserve"> </w:t>
            </w:r>
            <w:r w:rsidRPr="00281C58">
              <w:rPr>
                <w:rFonts w:ascii="Arial" w:hAnsi="Arial" w:cs="Arial"/>
                <w:sz w:val="20"/>
                <w:szCs w:val="20"/>
                <w:lang w:val="es-MX"/>
              </w:rPr>
              <w:t>Nombre de la base de datos: "Base de datos del estado de la infraestructura de los locales educativos de la DIPLAN"</w:t>
            </w:r>
          </w:p>
          <w:p w14:paraId="13128C02" w14:textId="77777777" w:rsidR="00917BC3" w:rsidRPr="00F6671E" w:rsidRDefault="00917BC3" w:rsidP="003E5088">
            <w:pPr>
              <w:pStyle w:val="Prrafodelista"/>
              <w:ind w:left="589"/>
              <w:jc w:val="both"/>
              <w:rPr>
                <w:rFonts w:ascii="Arial" w:hAnsi="Arial" w:cs="Arial"/>
                <w:sz w:val="20"/>
                <w:szCs w:val="20"/>
                <w:lang w:val="es-MX"/>
              </w:rPr>
            </w:pPr>
          </w:p>
          <w:p w14:paraId="5EAD625A" w14:textId="77777777" w:rsidR="00917BC3" w:rsidRPr="00F6671E" w:rsidRDefault="00917BC3" w:rsidP="003E5088">
            <w:pPr>
              <w:pStyle w:val="Prrafodelista"/>
              <w:numPr>
                <w:ilvl w:val="0"/>
                <w:numId w:val="6"/>
              </w:numPr>
              <w:ind w:left="589" w:hanging="283"/>
              <w:jc w:val="both"/>
              <w:rPr>
                <w:rFonts w:ascii="Arial" w:hAnsi="Arial" w:cs="Arial"/>
                <w:sz w:val="20"/>
                <w:szCs w:val="20"/>
                <w:lang w:val="es-MX"/>
              </w:rPr>
            </w:pPr>
            <w:r w:rsidRPr="00F6671E">
              <w:rPr>
                <w:rFonts w:ascii="Arial" w:hAnsi="Arial" w:cs="Arial"/>
                <w:sz w:val="20"/>
                <w:szCs w:val="20"/>
                <w:lang w:val="es-MX"/>
              </w:rPr>
              <w:t>La Unidad de Estadística, a través de la publicación del Censo E</w:t>
            </w:r>
            <w:r>
              <w:rPr>
                <w:rFonts w:ascii="Arial" w:hAnsi="Arial" w:cs="Arial"/>
                <w:sz w:val="20"/>
                <w:szCs w:val="20"/>
                <w:lang w:val="es-MX"/>
              </w:rPr>
              <w:t>ducativo</w:t>
            </w:r>
            <w:r w:rsidRPr="00F6671E">
              <w:rPr>
                <w:rFonts w:ascii="Arial" w:hAnsi="Arial" w:cs="Arial"/>
                <w:sz w:val="20"/>
                <w:szCs w:val="20"/>
                <w:lang w:val="es-MX"/>
              </w:rPr>
              <w:t>.</w:t>
            </w:r>
          </w:p>
          <w:p w14:paraId="3CA2F1E2" w14:textId="480F82CA" w:rsidR="00917BC3" w:rsidRDefault="00917BC3" w:rsidP="003E5088">
            <w:pPr>
              <w:pStyle w:val="Prrafodelista"/>
              <w:ind w:left="589"/>
              <w:jc w:val="both"/>
              <w:rPr>
                <w:rFonts w:ascii="Arial" w:hAnsi="Arial" w:cs="Arial"/>
                <w:sz w:val="20"/>
                <w:szCs w:val="20"/>
              </w:rPr>
            </w:pPr>
            <w:r w:rsidRPr="00F6671E">
              <w:rPr>
                <w:rFonts w:ascii="Arial" w:hAnsi="Arial" w:cs="Arial"/>
                <w:sz w:val="20"/>
                <w:szCs w:val="20"/>
                <w:lang w:val="es-MX"/>
              </w:rPr>
              <w:t>Nombre de las bases de datos o tablas: “</w:t>
            </w:r>
            <w:r w:rsidRPr="00F6671E">
              <w:rPr>
                <w:rFonts w:ascii="Arial" w:hAnsi="Arial" w:cs="Arial"/>
                <w:sz w:val="20"/>
                <w:szCs w:val="20"/>
              </w:rPr>
              <w:t xml:space="preserve">padrón”, </w:t>
            </w:r>
            <w:r w:rsidRPr="00D17252">
              <w:rPr>
                <w:rFonts w:ascii="Arial" w:hAnsi="Arial" w:cs="Arial"/>
                <w:sz w:val="20"/>
                <w:szCs w:val="20"/>
                <w:lang w:val="es-MX"/>
              </w:rPr>
              <w:t>“Loc_P501_Aulas”, “Loc_P506_OtEsp”, “Loc_P701_SSHH”</w:t>
            </w:r>
            <w:r w:rsidRPr="00F6671E">
              <w:rPr>
                <w:rFonts w:ascii="Arial" w:hAnsi="Arial" w:cs="Arial"/>
                <w:sz w:val="20"/>
                <w:szCs w:val="20"/>
              </w:rPr>
              <w:t>.</w:t>
            </w:r>
          </w:p>
          <w:p w14:paraId="16196596" w14:textId="675AFC0A" w:rsidR="00BA5D17" w:rsidRDefault="00BA5D17" w:rsidP="003E5088">
            <w:pPr>
              <w:pStyle w:val="Prrafodelista"/>
              <w:ind w:left="589"/>
              <w:jc w:val="both"/>
              <w:rPr>
                <w:rFonts w:ascii="Arial" w:hAnsi="Arial" w:cs="Arial"/>
                <w:sz w:val="20"/>
                <w:szCs w:val="20"/>
              </w:rPr>
            </w:pPr>
          </w:p>
          <w:p w14:paraId="135687F4" w14:textId="0B47B703" w:rsidR="00BA5D17" w:rsidRPr="000A0393" w:rsidRDefault="00BA5D17" w:rsidP="000A0393">
            <w:pPr>
              <w:pStyle w:val="Prrafodelista"/>
              <w:numPr>
                <w:ilvl w:val="0"/>
                <w:numId w:val="6"/>
              </w:numPr>
              <w:ind w:left="589" w:hanging="283"/>
              <w:jc w:val="both"/>
              <w:rPr>
                <w:rFonts w:ascii="Arial" w:hAnsi="Arial" w:cs="Arial"/>
                <w:sz w:val="20"/>
                <w:szCs w:val="20"/>
                <w:lang w:val="es-MX"/>
              </w:rPr>
            </w:pPr>
            <w:r w:rsidRPr="000A0393">
              <w:rPr>
                <w:rFonts w:ascii="Arial" w:hAnsi="Arial" w:cs="Arial"/>
                <w:sz w:val="20"/>
                <w:szCs w:val="20"/>
                <w:lang w:val="es-MX"/>
              </w:rPr>
              <w:t>La Dirección de Educación Básica para Estudiantes con Desempeño Sobresaliente y Alto Rendimiento, a través del monitoreo y evaluación que realiza sobre las II.EE que desarrollan el modelo de servicio.</w:t>
            </w:r>
          </w:p>
          <w:p w14:paraId="2883EF97" w14:textId="79AA5C3A" w:rsidR="00BA5D17" w:rsidRPr="000A0393" w:rsidRDefault="00BA5D17" w:rsidP="00BA5D17">
            <w:pPr>
              <w:pStyle w:val="Prrafodelista"/>
              <w:ind w:left="589"/>
              <w:jc w:val="both"/>
              <w:rPr>
                <w:rFonts w:ascii="Arial" w:hAnsi="Arial" w:cs="Arial"/>
                <w:sz w:val="20"/>
                <w:szCs w:val="20"/>
                <w:lang w:val="es-MX"/>
              </w:rPr>
            </w:pPr>
            <w:r w:rsidRPr="000A0393">
              <w:rPr>
                <w:rFonts w:ascii="Arial" w:hAnsi="Arial" w:cs="Arial"/>
                <w:sz w:val="20"/>
                <w:szCs w:val="20"/>
                <w:lang w:val="es-MX"/>
              </w:rPr>
              <w:t>Nombre de las bases de datos o tablas: Base de datos con la lista de II.EE con convenio firmado para la implementación del Modelo de Servicio Educativo para la Atención de Estudiantes con Habilidades Sobresalientes.</w:t>
            </w:r>
          </w:p>
          <w:p w14:paraId="3F36E51E" w14:textId="77777777" w:rsidR="00BA5D17" w:rsidRPr="00F6671E" w:rsidRDefault="00BA5D17" w:rsidP="003E5088">
            <w:pPr>
              <w:pStyle w:val="Prrafodelista"/>
              <w:ind w:left="589"/>
              <w:jc w:val="both"/>
              <w:rPr>
                <w:rFonts w:ascii="Arial" w:hAnsi="Arial" w:cs="Arial"/>
                <w:sz w:val="20"/>
                <w:szCs w:val="20"/>
              </w:rPr>
            </w:pPr>
          </w:p>
          <w:p w14:paraId="71008789" w14:textId="77777777" w:rsidR="00917BC3" w:rsidRPr="001D33A5" w:rsidRDefault="00917BC3" w:rsidP="003A2BD2">
            <w:pPr>
              <w:pStyle w:val="Prrafodelista"/>
              <w:ind w:left="589"/>
              <w:jc w:val="both"/>
              <w:rPr>
                <w:rFonts w:ascii="Arial" w:hAnsi="Arial" w:cs="Arial"/>
                <w:sz w:val="20"/>
                <w:szCs w:val="20"/>
                <w:lang w:val="es-MX"/>
              </w:rPr>
            </w:pPr>
          </w:p>
          <w:p w14:paraId="435490AC" w14:textId="77777777" w:rsidR="00917BC3" w:rsidRDefault="00917BC3" w:rsidP="001D33A5">
            <w:pPr>
              <w:jc w:val="both"/>
              <w:rPr>
                <w:rFonts w:ascii="Arial" w:hAnsi="Arial" w:cs="Arial"/>
                <w:sz w:val="20"/>
                <w:szCs w:val="20"/>
                <w:lang w:val="es-MX"/>
              </w:rPr>
            </w:pPr>
            <w:r w:rsidRPr="001D33A5">
              <w:rPr>
                <w:rFonts w:ascii="Arial" w:hAnsi="Arial" w:cs="Arial"/>
                <w:sz w:val="20"/>
                <w:szCs w:val="20"/>
              </w:rPr>
              <w:t>La medición de las brechas para la Programación Multianual de Inversiones se realizará cada año con las bases de datos más actualizadas</w:t>
            </w:r>
            <w:r w:rsidRPr="001D33A5">
              <w:rPr>
                <w:rFonts w:ascii="Arial" w:hAnsi="Arial" w:cs="Arial"/>
                <w:sz w:val="20"/>
                <w:szCs w:val="20"/>
                <w:lang w:val="es-MX"/>
              </w:rPr>
              <w:t>.</w:t>
            </w:r>
          </w:p>
          <w:p w14:paraId="28B61996" w14:textId="5B1E98DF" w:rsidR="00917BC3" w:rsidRPr="001D33A5" w:rsidRDefault="00917BC3" w:rsidP="001D33A5">
            <w:pPr>
              <w:jc w:val="both"/>
              <w:rPr>
                <w:rFonts w:ascii="Arial" w:hAnsi="Arial" w:cs="Arial"/>
                <w:sz w:val="20"/>
                <w:szCs w:val="20"/>
                <w:lang w:val="es-MX"/>
              </w:rPr>
            </w:pPr>
          </w:p>
        </w:tc>
      </w:tr>
      <w:tr w:rsidR="00917BC3" w:rsidRPr="001D33A5" w14:paraId="5481CE85"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917BC3" w:rsidRPr="001D33A5" w:rsidRDefault="00917BC3" w:rsidP="001D33A5">
            <w:pPr>
              <w:rPr>
                <w:rFonts w:ascii="Arial" w:hAnsi="Arial" w:cs="Arial"/>
                <w:sz w:val="20"/>
                <w:szCs w:val="20"/>
              </w:rPr>
            </w:pPr>
            <w:r w:rsidRPr="001D33A5">
              <w:rPr>
                <w:rFonts w:ascii="Arial" w:hAnsi="Arial" w:cs="Arial"/>
                <w:b/>
                <w:bCs/>
                <w:sz w:val="20"/>
                <w:szCs w:val="20"/>
              </w:rPr>
              <w:lastRenderedPageBreak/>
              <w:t>Instrumento de Recolección de Información</w:t>
            </w:r>
          </w:p>
        </w:tc>
      </w:tr>
      <w:tr w:rsidR="00917BC3" w:rsidRPr="001D33A5" w14:paraId="75468DF2" w14:textId="77777777" w:rsidTr="00281C58">
        <w:trPr>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723FB32C" w14:textId="77777777" w:rsidR="00917BC3" w:rsidRPr="003A2BD2" w:rsidRDefault="00917BC3" w:rsidP="003A2BD2">
            <w:pPr>
              <w:jc w:val="both"/>
              <w:rPr>
                <w:rFonts w:ascii="Arial" w:hAnsi="Arial" w:cs="Arial"/>
                <w:sz w:val="20"/>
                <w:szCs w:val="20"/>
              </w:rPr>
            </w:pPr>
          </w:p>
          <w:p w14:paraId="0778F774" w14:textId="245C8347" w:rsidR="00917BC3" w:rsidRDefault="00917BC3" w:rsidP="003A2BD2">
            <w:pPr>
              <w:pStyle w:val="Prrafodelista"/>
              <w:numPr>
                <w:ilvl w:val="0"/>
                <w:numId w:val="7"/>
              </w:numPr>
              <w:ind w:left="589" w:hanging="283"/>
              <w:jc w:val="both"/>
              <w:rPr>
                <w:rFonts w:ascii="Arial" w:hAnsi="Arial" w:cs="Arial"/>
                <w:sz w:val="20"/>
                <w:szCs w:val="20"/>
              </w:rPr>
            </w:pPr>
            <w:r w:rsidRPr="001D33A5">
              <w:rPr>
                <w:rFonts w:ascii="Arial" w:hAnsi="Arial" w:cs="Arial"/>
                <w:sz w:val="20"/>
                <w:szCs w:val="20"/>
              </w:rPr>
              <w:t xml:space="preserve">La Unidad de Programación e Inversiones </w:t>
            </w:r>
            <w:r>
              <w:rPr>
                <w:rFonts w:ascii="Arial" w:hAnsi="Arial" w:cs="Arial"/>
                <w:sz w:val="20"/>
                <w:szCs w:val="20"/>
              </w:rPr>
              <w:t xml:space="preserve">(UPI) </w:t>
            </w:r>
            <w:r w:rsidRPr="001D33A5">
              <w:rPr>
                <w:rFonts w:ascii="Arial" w:hAnsi="Arial" w:cs="Arial"/>
                <w:sz w:val="20"/>
                <w:szCs w:val="20"/>
              </w:rPr>
              <w:t xml:space="preserve">del MINEDU, a través del análisis de información asociada a las inversiones (Banco de Inversiones, SIAF), de manera anual, es la encargada de construir la </w:t>
            </w:r>
            <w:r w:rsidRPr="00993A2B">
              <w:rPr>
                <w:rFonts w:ascii="Arial" w:hAnsi="Arial" w:cs="Arial"/>
                <w:sz w:val="20"/>
                <w:szCs w:val="20"/>
              </w:rPr>
              <w:t>Base de datos del estado de las unidades productoras en el marco del SNPMGI</w:t>
            </w:r>
          </w:p>
          <w:p w14:paraId="7E813A8B" w14:textId="77777777" w:rsidR="00917BC3" w:rsidRPr="001D33A5" w:rsidRDefault="00917BC3" w:rsidP="00C57621">
            <w:pPr>
              <w:pStyle w:val="Prrafodelista"/>
              <w:ind w:left="589"/>
              <w:jc w:val="both"/>
              <w:rPr>
                <w:rFonts w:ascii="Arial" w:hAnsi="Arial" w:cs="Arial"/>
                <w:sz w:val="20"/>
                <w:szCs w:val="20"/>
              </w:rPr>
            </w:pPr>
          </w:p>
          <w:p w14:paraId="622607D4" w14:textId="0C2513E3" w:rsidR="00917BC3" w:rsidRDefault="00917BC3" w:rsidP="003A2BD2">
            <w:pPr>
              <w:pStyle w:val="Prrafodelista"/>
              <w:numPr>
                <w:ilvl w:val="0"/>
                <w:numId w:val="7"/>
              </w:numPr>
              <w:ind w:left="589" w:hanging="283"/>
              <w:jc w:val="both"/>
              <w:rPr>
                <w:rFonts w:ascii="Arial" w:hAnsi="Arial" w:cs="Arial"/>
                <w:sz w:val="20"/>
                <w:szCs w:val="20"/>
              </w:rPr>
            </w:pPr>
            <w:r w:rsidRPr="001D33A5">
              <w:rPr>
                <w:rFonts w:ascii="Arial" w:hAnsi="Arial" w:cs="Arial"/>
                <w:sz w:val="20"/>
                <w:szCs w:val="20"/>
              </w:rPr>
              <w:t>La Unidad de Estadística</w:t>
            </w:r>
            <w:r>
              <w:rPr>
                <w:rFonts w:ascii="Arial" w:hAnsi="Arial" w:cs="Arial"/>
                <w:sz w:val="20"/>
                <w:szCs w:val="20"/>
              </w:rPr>
              <w:t xml:space="preserve"> (UE)</w:t>
            </w:r>
            <w:r w:rsidRPr="001D33A5">
              <w:rPr>
                <w:rFonts w:ascii="Arial" w:hAnsi="Arial" w:cs="Arial"/>
                <w:sz w:val="20"/>
                <w:szCs w:val="20"/>
              </w:rPr>
              <w:t xml:space="preserve"> del MINEDU es la responsable de diseñar, recoger, limpiar y publicar </w:t>
            </w:r>
            <w:r>
              <w:rPr>
                <w:rFonts w:ascii="Arial" w:hAnsi="Arial" w:cs="Arial"/>
                <w:sz w:val="20"/>
                <w:szCs w:val="20"/>
              </w:rPr>
              <w:t xml:space="preserve">los resultados </w:t>
            </w:r>
            <w:r w:rsidRPr="001D33A5">
              <w:rPr>
                <w:rFonts w:ascii="Arial" w:hAnsi="Arial" w:cs="Arial"/>
                <w:sz w:val="20"/>
                <w:szCs w:val="20"/>
              </w:rPr>
              <w:t>del Censo Educativo de manera anual.</w:t>
            </w:r>
          </w:p>
          <w:p w14:paraId="1F1684BA" w14:textId="77777777" w:rsidR="00917BC3" w:rsidRPr="001D33A5" w:rsidRDefault="00917BC3" w:rsidP="00C57621">
            <w:pPr>
              <w:pStyle w:val="Prrafodelista"/>
              <w:ind w:left="589"/>
              <w:jc w:val="both"/>
              <w:rPr>
                <w:rFonts w:ascii="Arial" w:hAnsi="Arial" w:cs="Arial"/>
                <w:sz w:val="20"/>
                <w:szCs w:val="20"/>
              </w:rPr>
            </w:pPr>
          </w:p>
          <w:p w14:paraId="75B54A0A" w14:textId="53A4DF18" w:rsidR="00917BC3" w:rsidRDefault="00917BC3" w:rsidP="003A2BD2">
            <w:pPr>
              <w:pStyle w:val="Prrafodelista"/>
              <w:numPr>
                <w:ilvl w:val="0"/>
                <w:numId w:val="7"/>
              </w:numPr>
              <w:ind w:left="589" w:hanging="283"/>
              <w:jc w:val="both"/>
              <w:rPr>
                <w:rFonts w:ascii="Arial" w:hAnsi="Arial" w:cs="Arial"/>
                <w:sz w:val="20"/>
                <w:szCs w:val="20"/>
              </w:rPr>
            </w:pPr>
            <w:r w:rsidRPr="001D33A5">
              <w:rPr>
                <w:rFonts w:ascii="Arial" w:hAnsi="Arial" w:cs="Arial"/>
                <w:sz w:val="20"/>
                <w:szCs w:val="20"/>
                <w:lang w:eastAsia="es-PE"/>
              </w:rPr>
              <w:t>La Dirección de Planificación de Inversiones</w:t>
            </w:r>
            <w:r>
              <w:rPr>
                <w:rFonts w:ascii="Arial" w:hAnsi="Arial" w:cs="Arial"/>
                <w:sz w:val="20"/>
                <w:szCs w:val="20"/>
                <w:lang w:eastAsia="es-PE"/>
              </w:rPr>
              <w:t xml:space="preserve"> (DIPLAN)</w:t>
            </w:r>
            <w:r w:rsidRPr="001D33A5">
              <w:rPr>
                <w:rFonts w:ascii="Arial" w:hAnsi="Arial" w:cs="Arial"/>
                <w:sz w:val="20"/>
                <w:szCs w:val="20"/>
                <w:lang w:eastAsia="es-PE"/>
              </w:rPr>
              <w:t xml:space="preserve">, en el marco de sus funciones, realiza el seguimiento </w:t>
            </w:r>
            <w:r>
              <w:rPr>
                <w:rFonts w:ascii="Arial" w:hAnsi="Arial" w:cs="Arial"/>
                <w:sz w:val="20"/>
                <w:szCs w:val="20"/>
                <w:lang w:eastAsia="es-PE"/>
              </w:rPr>
              <w:t>y evaluación a la implementación de las políticas y planes en materia de Infraestructura Educativa</w:t>
            </w:r>
            <w:r w:rsidRPr="001D33A5">
              <w:rPr>
                <w:rFonts w:ascii="Arial" w:hAnsi="Arial" w:cs="Arial"/>
                <w:sz w:val="20"/>
                <w:szCs w:val="20"/>
                <w:lang w:eastAsia="es-PE"/>
              </w:rPr>
              <w:t xml:space="preserve"> a través de la Base de Datos </w:t>
            </w:r>
            <w:r>
              <w:rPr>
                <w:rFonts w:ascii="Arial" w:hAnsi="Arial" w:cs="Arial"/>
                <w:sz w:val="20"/>
                <w:szCs w:val="20"/>
                <w:lang w:eastAsia="es-PE"/>
              </w:rPr>
              <w:t>del estado de la infraestructura de los locales educativos de la DIPLAN</w:t>
            </w:r>
            <w:r w:rsidRPr="001D33A5">
              <w:rPr>
                <w:rFonts w:ascii="Arial" w:hAnsi="Arial" w:cs="Arial"/>
                <w:sz w:val="20"/>
                <w:szCs w:val="20"/>
              </w:rPr>
              <w:t xml:space="preserve">, el cual </w:t>
            </w:r>
            <w:r>
              <w:rPr>
                <w:rFonts w:ascii="Arial" w:hAnsi="Arial" w:cs="Arial"/>
                <w:sz w:val="20"/>
                <w:szCs w:val="20"/>
              </w:rPr>
              <w:t>es elaborado</w:t>
            </w:r>
            <w:r w:rsidRPr="001D33A5">
              <w:rPr>
                <w:rFonts w:ascii="Arial" w:hAnsi="Arial" w:cs="Arial"/>
                <w:sz w:val="20"/>
                <w:szCs w:val="20"/>
              </w:rPr>
              <w:t xml:space="preserve"> todos los años</w:t>
            </w:r>
            <w:r>
              <w:rPr>
                <w:rFonts w:ascii="Arial" w:hAnsi="Arial" w:cs="Arial"/>
                <w:sz w:val="20"/>
                <w:szCs w:val="20"/>
              </w:rPr>
              <w:t xml:space="preserve"> y tiene un alcance a nivel nacional.</w:t>
            </w:r>
          </w:p>
          <w:p w14:paraId="1D96B55C" w14:textId="77777777" w:rsidR="00917BC3" w:rsidRPr="001D33A5" w:rsidRDefault="00917BC3" w:rsidP="0029679B">
            <w:pPr>
              <w:pStyle w:val="Prrafodelista"/>
              <w:ind w:left="589"/>
              <w:jc w:val="both"/>
              <w:rPr>
                <w:rFonts w:ascii="Arial" w:hAnsi="Arial" w:cs="Arial"/>
                <w:sz w:val="20"/>
                <w:szCs w:val="20"/>
              </w:rPr>
            </w:pPr>
          </w:p>
          <w:p w14:paraId="0C58C21E" w14:textId="770F8750" w:rsidR="00917BC3" w:rsidRPr="001D33A5" w:rsidRDefault="00917BC3" w:rsidP="003A2BD2">
            <w:pPr>
              <w:pStyle w:val="Prrafodelista"/>
              <w:numPr>
                <w:ilvl w:val="0"/>
                <w:numId w:val="6"/>
              </w:numPr>
              <w:ind w:left="589" w:hanging="283"/>
              <w:jc w:val="both"/>
              <w:rPr>
                <w:rFonts w:ascii="Arial" w:hAnsi="Arial" w:cs="Arial"/>
                <w:sz w:val="20"/>
                <w:szCs w:val="20"/>
                <w:lang w:val="es-MX"/>
              </w:rPr>
            </w:pPr>
            <w:r w:rsidRPr="001D33A5">
              <w:rPr>
                <w:rFonts w:ascii="Arial" w:hAnsi="Arial" w:cs="Arial"/>
                <w:sz w:val="20"/>
                <w:szCs w:val="20"/>
                <w:lang w:val="es-MX"/>
              </w:rPr>
              <w:t>La Dirección de Educación Básica para Estudiantes con Desempeño Sobresaliente y Alto Rendimiento es la responsable de realizar el monitoreo y evaluación de las</w:t>
            </w:r>
            <w:r w:rsidR="00CE5863">
              <w:rPr>
                <w:rFonts w:ascii="Arial" w:hAnsi="Arial" w:cs="Arial"/>
                <w:sz w:val="20"/>
                <w:szCs w:val="20"/>
                <w:lang w:val="es-MX"/>
              </w:rPr>
              <w:t xml:space="preserve"> instalaciones educativas</w:t>
            </w:r>
            <w:r w:rsidRPr="001D33A5">
              <w:rPr>
                <w:rFonts w:ascii="Arial" w:hAnsi="Arial" w:cs="Arial"/>
                <w:sz w:val="20"/>
                <w:szCs w:val="20"/>
                <w:lang w:val="es-MX"/>
              </w:rPr>
              <w:t xml:space="preserve"> que desarrollan el modelo de servicio en mención.</w:t>
            </w:r>
          </w:p>
          <w:p w14:paraId="3344E65F" w14:textId="462D9BBB" w:rsidR="00917BC3" w:rsidRPr="001D33A5" w:rsidRDefault="00917BC3" w:rsidP="001D33A5">
            <w:pPr>
              <w:pStyle w:val="Prrafodelista"/>
              <w:ind w:left="1068"/>
              <w:jc w:val="both"/>
              <w:rPr>
                <w:rFonts w:ascii="Arial" w:hAnsi="Arial" w:cs="Arial"/>
                <w:color w:val="FF0000"/>
                <w:sz w:val="20"/>
                <w:szCs w:val="20"/>
                <w:lang w:val="es-MX"/>
              </w:rPr>
            </w:pPr>
          </w:p>
        </w:tc>
      </w:tr>
      <w:bookmarkEnd w:id="0"/>
      <w:bookmarkEnd w:id="1"/>
    </w:tbl>
    <w:p w14:paraId="615CBBEE" w14:textId="1C7D0672" w:rsidR="00076082" w:rsidRPr="001D33A5" w:rsidRDefault="00076082" w:rsidP="001D33A5">
      <w:pPr>
        <w:spacing w:line="240" w:lineRule="auto"/>
        <w:jc w:val="both"/>
        <w:rPr>
          <w:rFonts w:ascii="Arial" w:hAnsi="Arial" w:cs="Arial"/>
          <w:color w:val="FF0000"/>
          <w:sz w:val="20"/>
          <w:szCs w:val="20"/>
        </w:rPr>
      </w:pPr>
    </w:p>
    <w:sectPr w:rsidR="00076082" w:rsidRPr="001D33A5"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C050" w14:textId="77777777" w:rsidR="006A5CFF" w:rsidRDefault="006A5CFF" w:rsidP="00020DDF">
      <w:pPr>
        <w:spacing w:after="0" w:line="240" w:lineRule="auto"/>
      </w:pPr>
      <w:r>
        <w:separator/>
      </w:r>
    </w:p>
  </w:endnote>
  <w:endnote w:type="continuationSeparator" w:id="0">
    <w:p w14:paraId="6E697670" w14:textId="77777777" w:rsidR="006A5CFF" w:rsidRDefault="006A5CFF"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C7C5" w14:textId="77777777" w:rsidR="006A5CFF" w:rsidRDefault="006A5CFF" w:rsidP="00020DDF">
      <w:pPr>
        <w:spacing w:after="0" w:line="240" w:lineRule="auto"/>
      </w:pPr>
      <w:r>
        <w:separator/>
      </w:r>
    </w:p>
  </w:footnote>
  <w:footnote w:type="continuationSeparator" w:id="0">
    <w:p w14:paraId="1FF92033" w14:textId="77777777" w:rsidR="006A5CFF" w:rsidRDefault="006A5CFF" w:rsidP="00020DDF">
      <w:pPr>
        <w:spacing w:after="0" w:line="240" w:lineRule="auto"/>
      </w:pPr>
      <w:r>
        <w:continuationSeparator/>
      </w:r>
    </w:p>
  </w:footnote>
  <w:footnote w:id="1">
    <w:p w14:paraId="37BD4ADB" w14:textId="701D0A69" w:rsidR="00917BC3" w:rsidRDefault="00917BC3" w:rsidP="00F27816">
      <w:pPr>
        <w:pStyle w:val="Textonotapie"/>
        <w:jc w:val="both"/>
      </w:pPr>
      <w:r>
        <w:rPr>
          <w:rStyle w:val="Refdenotaalpie"/>
        </w:rPr>
        <w:footnoteRef/>
      </w:r>
      <w:r>
        <w:t xml:space="preserve"> </w:t>
      </w:r>
      <w:r w:rsidRPr="009328B4">
        <w:rPr>
          <w:rFonts w:ascii="Arial" w:hAnsi="Arial"/>
          <w:sz w:val="16"/>
          <w:szCs w:val="16"/>
        </w:rPr>
        <w:t xml:space="preserve">Modelo de </w:t>
      </w:r>
      <w:r>
        <w:rPr>
          <w:rFonts w:ascii="Arial" w:hAnsi="Arial"/>
          <w:sz w:val="16"/>
          <w:szCs w:val="16"/>
        </w:rPr>
        <w:t xml:space="preserve">servicio educativo </w:t>
      </w:r>
      <w:r w:rsidRPr="009328B4">
        <w:rPr>
          <w:rFonts w:ascii="Arial" w:hAnsi="Arial"/>
          <w:sz w:val="16"/>
          <w:szCs w:val="16"/>
        </w:rPr>
        <w:t>aprobado por Resolución Ministerial Nº 274-2014-MINEDU</w:t>
      </w:r>
      <w:r>
        <w:rPr>
          <w:rFonts w:ascii="Arial" w:hAnsi="Arial"/>
          <w:sz w:val="16"/>
          <w:szCs w:val="16"/>
        </w:rPr>
        <w:t>, modificado y/o actualizado por Resoluciones Ministeriales N° 446-2014-MINEDU, N° 438-2016-MINEDU, N° 603-2017-MINEDU, N° 537-2019-MINEDU, N° 315-2021-</w:t>
      </w:r>
      <w:r w:rsidR="00281C58">
        <w:rPr>
          <w:rFonts w:ascii="Arial" w:hAnsi="Arial"/>
          <w:sz w:val="16"/>
          <w:szCs w:val="16"/>
        </w:rPr>
        <w:t>MINEDU y</w:t>
      </w:r>
      <w:r>
        <w:rPr>
          <w:rFonts w:ascii="Arial" w:hAnsi="Arial"/>
          <w:sz w:val="16"/>
          <w:szCs w:val="16"/>
        </w:rPr>
        <w:t xml:space="preserve"> N° 139-2023-MINEDU.</w:t>
      </w:r>
    </w:p>
  </w:footnote>
  <w:footnote w:id="2">
    <w:p w14:paraId="65C35CD0" w14:textId="3D02962A" w:rsidR="00360C07" w:rsidRDefault="00360C07" w:rsidP="00F27816">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Resolución de Secretaría General N° 096-2017-MINEDU</w:t>
      </w:r>
      <w:r>
        <w:rPr>
          <w:sz w:val="16"/>
          <w:szCs w:val="16"/>
        </w:rPr>
        <w:t>)</w:t>
      </w:r>
    </w:p>
  </w:footnote>
  <w:footnote w:id="3">
    <w:p w14:paraId="085030CD" w14:textId="72EEA21C" w:rsidR="00360C07" w:rsidRDefault="00360C07" w:rsidP="00F27816">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Resolución de Secretaría General N°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Resolución de Secretaría General N° 096-2017-MINEDU</w:t>
      </w:r>
      <w:r>
        <w:rPr>
          <w:sz w:val="16"/>
          <w:szCs w:val="16"/>
        </w:rPr>
        <w:t>)</w:t>
      </w:r>
    </w:p>
  </w:footnote>
  <w:footnote w:id="4">
    <w:p w14:paraId="364D5BE1" w14:textId="0C7E5BF6" w:rsidR="00917BC3" w:rsidRPr="00F27816" w:rsidRDefault="00917BC3" w:rsidP="00F27816">
      <w:pPr>
        <w:pStyle w:val="Textonotapie"/>
        <w:jc w:val="both"/>
        <w:rPr>
          <w:sz w:val="16"/>
          <w:szCs w:val="16"/>
        </w:rPr>
      </w:pPr>
      <w:r w:rsidRPr="00F27816">
        <w:footnoteRef/>
      </w:r>
      <w:r w:rsidRPr="00F27816">
        <w:rPr>
          <w:sz w:val="16"/>
          <w:szCs w:val="16"/>
        </w:rPr>
        <w:t xml:space="preserve"> Artículo 6 de la norma técnica "Criterios Generales de Diseño para Infraestructura Educativa", aprobada mediante Resolución Viceministerial N° 010-2022-MINEDU y modificada por Resolución Viceministerial N° 020-2023-MINEDU.</w:t>
      </w:r>
    </w:p>
  </w:footnote>
  <w:footnote w:id="5">
    <w:p w14:paraId="531CFB55" w14:textId="52A37550" w:rsidR="00917BC3" w:rsidRPr="00F27816" w:rsidRDefault="00917BC3" w:rsidP="00F27816">
      <w:pPr>
        <w:pStyle w:val="Textonotapie"/>
        <w:jc w:val="both"/>
        <w:rPr>
          <w:sz w:val="16"/>
          <w:szCs w:val="16"/>
        </w:rPr>
      </w:pPr>
      <w:r w:rsidRPr="00F27816">
        <w:footnoteRef/>
      </w:r>
      <w:r w:rsidRPr="00F27816">
        <w:t xml:space="preserve"> </w:t>
      </w:r>
      <w:r w:rsidRPr="00F27816">
        <w:rPr>
          <w:sz w:val="16"/>
          <w:szCs w:val="16"/>
        </w:rPr>
        <w:t>Definición extraída del numeral 7: Definición de la población objetivo, del documento denominado “Modelo de servicio Educativo para la atención de estudiantes de alto desempeño académico, artístico y/o deportivo”.</w:t>
      </w:r>
    </w:p>
  </w:footnote>
  <w:footnote w:id="6">
    <w:p w14:paraId="7E3FAB4F" w14:textId="63D85F51" w:rsidR="00917BC3" w:rsidRPr="00F27816" w:rsidRDefault="00917BC3" w:rsidP="00F27816">
      <w:pPr>
        <w:pStyle w:val="Textonotapie"/>
        <w:jc w:val="both"/>
        <w:rPr>
          <w:sz w:val="16"/>
          <w:szCs w:val="16"/>
        </w:rPr>
      </w:pPr>
      <w:r w:rsidRPr="00F27816">
        <w:rPr>
          <w:sz w:val="16"/>
          <w:szCs w:val="16"/>
        </w:rPr>
        <w:footnoteRef/>
      </w:r>
      <w:r w:rsidRPr="00F27816">
        <w:rPr>
          <w:sz w:val="16"/>
          <w:szCs w:val="16"/>
        </w:rPr>
        <w:t xml:space="preserve"> Definición extraída del numeral 8.1.1.5: Plan de estudios, del documento denominado “Modelo de servicio Educativo para la atención de estudiantes de alto desempeño académico, artístico y/o deportivo”.</w:t>
      </w:r>
    </w:p>
  </w:footnote>
  <w:footnote w:id="7">
    <w:p w14:paraId="0988A82D" w14:textId="2BB284B0" w:rsidR="00917BC3" w:rsidRPr="00F27816" w:rsidRDefault="00917BC3" w:rsidP="00F27816">
      <w:pPr>
        <w:pStyle w:val="Textonotapie"/>
        <w:jc w:val="both"/>
        <w:rPr>
          <w:sz w:val="16"/>
          <w:szCs w:val="16"/>
        </w:rPr>
      </w:pPr>
      <w:r w:rsidRPr="00F27816">
        <w:footnoteRef/>
      </w:r>
      <w:r w:rsidRPr="00F27816">
        <w:rPr>
          <w:sz w:val="16"/>
          <w:szCs w:val="16"/>
        </w:rPr>
        <w:t xml:space="preserve"> “Modelo de servicio Educativo para la atención de estudiantes de alto desempeño académico, artístico y/o deportivo” aprobado por Resolución Ministerial Nº 274-2014-MINEDU, sus modificatorias y actualizaciones.</w:t>
      </w:r>
    </w:p>
  </w:footnote>
  <w:footnote w:id="8">
    <w:p w14:paraId="2392EEF2" w14:textId="7ECD9DC8" w:rsidR="00917BC3" w:rsidRDefault="00917BC3" w:rsidP="00F27816">
      <w:pPr>
        <w:pStyle w:val="Textonotapie"/>
        <w:jc w:val="both"/>
      </w:pPr>
      <w:r w:rsidRPr="00F27816">
        <w:rPr>
          <w:sz w:val="16"/>
          <w:szCs w:val="16"/>
        </w:rPr>
        <w:footnoteRef/>
      </w:r>
      <w:r w:rsidRPr="00F27816">
        <w:rPr>
          <w:sz w:val="16"/>
          <w:szCs w:val="16"/>
        </w:rPr>
        <w:t xml:space="preserve"> Definición extraída del numeral 6.1: Foras de atención del MSE Sobresaliente, del documento denominado “Modelo de servicio Educativo para la atención de estudiantes de alto desempeño académico, artístico y/o deportivo”.</w:t>
      </w:r>
    </w:p>
  </w:footnote>
  <w:footnote w:id="9">
    <w:p w14:paraId="364FF4ED" w14:textId="29756AF2" w:rsidR="00610862" w:rsidRDefault="00610862" w:rsidP="00610862">
      <w:pPr>
        <w:pStyle w:val="Textonotapie"/>
      </w:pPr>
      <w:r>
        <w:rPr>
          <w:rStyle w:val="Refdenotaalpie"/>
        </w:rPr>
        <w:footnoteRef/>
      </w:r>
      <w:r>
        <w:t xml:space="preserve"> </w:t>
      </w:r>
      <w:r w:rsidR="008D25ED" w:rsidRPr="008D25ED">
        <w:rPr>
          <w:rFonts w:ascii="Arial" w:hAnsi="Arial"/>
          <w:sz w:val="16"/>
          <w:szCs w:val="16"/>
        </w:rPr>
        <w:t xml:space="preserve">Porcentaje de instalaciones educativas del modelo de Servicio Educativo para Atención de Estudiantes con Habilidades Sobresalientes, en </w:t>
      </w:r>
      <w:r w:rsidR="0035763B" w:rsidRPr="0035763B">
        <w:rPr>
          <w:rFonts w:ascii="Arial" w:hAnsi="Arial"/>
          <w:sz w:val="16"/>
          <w:szCs w:val="16"/>
        </w:rPr>
        <w:t>condiciones inadecuadas</w:t>
      </w:r>
      <w:r w:rsidR="0054094E">
        <w:rPr>
          <w:rFonts w:ascii="Arial" w:hAnsi="Arial"/>
          <w:sz w:val="16"/>
          <w:szCs w:val="16"/>
        </w:rPr>
        <w:t>.</w:t>
      </w:r>
    </w:p>
  </w:footnote>
  <w:footnote w:id="10">
    <w:p w14:paraId="3473FFEA" w14:textId="77777777" w:rsidR="00610862" w:rsidRDefault="00610862" w:rsidP="00610862">
      <w:pPr>
        <w:pStyle w:val="Textonotapie"/>
      </w:pPr>
      <w:r>
        <w:rPr>
          <w:rStyle w:val="Refdenotaalpie"/>
        </w:rPr>
        <w:footnoteRef/>
      </w:r>
      <w:r>
        <w:t xml:space="preserve"> </w:t>
      </w:r>
      <w:r w:rsidRPr="00983AAC">
        <w:rPr>
          <w:rFonts w:ascii="Arial" w:hAnsi="Arial"/>
          <w:sz w:val="16"/>
          <w:szCs w:val="16"/>
        </w:rPr>
        <w:t>Indicador de brecha</w:t>
      </w:r>
    </w:p>
  </w:footnote>
  <w:footnote w:id="11">
    <w:p w14:paraId="5B7A12D4" w14:textId="77777777" w:rsidR="00917BC3" w:rsidRDefault="00917BC3" w:rsidP="00870660">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12">
    <w:p w14:paraId="0DC5FAB5" w14:textId="77777777" w:rsidR="00917BC3" w:rsidRDefault="00917BC3" w:rsidP="008E0E87">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3">
    <w:p w14:paraId="78C47924" w14:textId="77777777" w:rsidR="00917BC3" w:rsidRPr="00D44A0B" w:rsidRDefault="00917BC3" w:rsidP="006D7295">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24686260" w14:textId="77777777" w:rsidR="00917BC3" w:rsidRDefault="00917BC3" w:rsidP="006D7295">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4">
    <w:p w14:paraId="07B7F960" w14:textId="77777777" w:rsidR="00917BC3" w:rsidRDefault="00917BC3" w:rsidP="00D212A5">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5">
    <w:p w14:paraId="47522339" w14:textId="2270F4CB" w:rsidR="00917BC3" w:rsidRPr="009328B4" w:rsidRDefault="00917BC3" w:rsidP="005A23AD">
      <w:pPr>
        <w:pStyle w:val="Textonotapie"/>
        <w:contextualSpacing/>
        <w:jc w:val="both"/>
        <w:rPr>
          <w:rFonts w:ascii="Arial" w:hAnsi="Arial"/>
          <w:sz w:val="16"/>
          <w:szCs w:val="16"/>
        </w:rPr>
      </w:pPr>
      <w:r w:rsidRPr="009328B4">
        <w:rPr>
          <w:rStyle w:val="Refdenotaalpie"/>
          <w:rFonts w:ascii="Arial" w:hAnsi="Arial"/>
          <w:sz w:val="16"/>
          <w:szCs w:val="16"/>
        </w:rPr>
        <w:footnoteRef/>
      </w:r>
      <w:r w:rsidRPr="009328B4">
        <w:rPr>
          <w:rFonts w:ascii="Arial" w:hAnsi="Arial"/>
          <w:sz w:val="16"/>
          <w:szCs w:val="16"/>
        </w:rPr>
        <w:t xml:space="preserve"> Las inversiones referidas en los literales b), c) y d) no se encuentran alineadas a las normas del Invierte.pe y su metodología general.</w:t>
      </w:r>
    </w:p>
  </w:footnote>
  <w:footnote w:id="16">
    <w:p w14:paraId="351E22BD" w14:textId="77777777" w:rsidR="00917BC3" w:rsidRPr="006572B3" w:rsidRDefault="00917BC3" w:rsidP="005A23AD">
      <w:pPr>
        <w:spacing w:after="0" w:line="240" w:lineRule="auto"/>
        <w:contextualSpacing/>
        <w:jc w:val="both"/>
        <w:rPr>
          <w:rFonts w:ascii="Arial" w:hAnsi="Arial"/>
        </w:rPr>
      </w:pPr>
      <w:r w:rsidRPr="009328B4">
        <w:rPr>
          <w:rStyle w:val="Refdenotaalpie"/>
          <w:rFonts w:ascii="Arial" w:hAnsi="Arial" w:cs="Arial"/>
          <w:sz w:val="16"/>
          <w:szCs w:val="16"/>
        </w:rPr>
        <w:footnoteRef/>
      </w:r>
      <w:r w:rsidRPr="009328B4">
        <w:rPr>
          <w:rFonts w:ascii="Arial" w:hAnsi="Arial" w:cs="Arial"/>
          <w:sz w:val="16"/>
          <w:szCs w:val="16"/>
        </w:rPr>
        <w:t xml:space="preserve"> Sujeto a variación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B21"/>
    <w:multiLevelType w:val="hybridMultilevel"/>
    <w:tmpl w:val="40A66F2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2BCB4519"/>
    <w:multiLevelType w:val="hybridMultilevel"/>
    <w:tmpl w:val="9BF216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9F22A64"/>
    <w:multiLevelType w:val="hybridMultilevel"/>
    <w:tmpl w:val="AE18472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0436D7A"/>
    <w:multiLevelType w:val="hybridMultilevel"/>
    <w:tmpl w:val="40A66F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9"/>
  </w:num>
  <w:num w:numId="6">
    <w:abstractNumId w:val="5"/>
  </w:num>
  <w:num w:numId="7">
    <w:abstractNumId w:val="8"/>
  </w:num>
  <w:num w:numId="8">
    <w:abstractNumId w:val="10"/>
  </w:num>
  <w:num w:numId="9">
    <w:abstractNumId w:val="1"/>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0DB5"/>
    <w:rsid w:val="00012C08"/>
    <w:rsid w:val="000161C4"/>
    <w:rsid w:val="00016C42"/>
    <w:rsid w:val="00020DDF"/>
    <w:rsid w:val="0002209D"/>
    <w:rsid w:val="000231F2"/>
    <w:rsid w:val="0002710B"/>
    <w:rsid w:val="000327CD"/>
    <w:rsid w:val="00032A74"/>
    <w:rsid w:val="00032E84"/>
    <w:rsid w:val="00045EB3"/>
    <w:rsid w:val="00063447"/>
    <w:rsid w:val="000660B9"/>
    <w:rsid w:val="00071462"/>
    <w:rsid w:val="000720AA"/>
    <w:rsid w:val="00076082"/>
    <w:rsid w:val="00077A0F"/>
    <w:rsid w:val="000859BD"/>
    <w:rsid w:val="000871C4"/>
    <w:rsid w:val="000A0393"/>
    <w:rsid w:val="000A0DFC"/>
    <w:rsid w:val="000A2D72"/>
    <w:rsid w:val="000B43FB"/>
    <w:rsid w:val="000B702B"/>
    <w:rsid w:val="000C10E2"/>
    <w:rsid w:val="000C4FB0"/>
    <w:rsid w:val="000D34B4"/>
    <w:rsid w:val="000D4982"/>
    <w:rsid w:val="000D5693"/>
    <w:rsid w:val="000E27BC"/>
    <w:rsid w:val="000E6FD9"/>
    <w:rsid w:val="000F609C"/>
    <w:rsid w:val="000F784E"/>
    <w:rsid w:val="001013B5"/>
    <w:rsid w:val="00101D02"/>
    <w:rsid w:val="00102E51"/>
    <w:rsid w:val="00104454"/>
    <w:rsid w:val="001056C9"/>
    <w:rsid w:val="001125DA"/>
    <w:rsid w:val="00112784"/>
    <w:rsid w:val="001127CF"/>
    <w:rsid w:val="001128F5"/>
    <w:rsid w:val="00123259"/>
    <w:rsid w:val="00127D95"/>
    <w:rsid w:val="00131442"/>
    <w:rsid w:val="00131CCB"/>
    <w:rsid w:val="00132837"/>
    <w:rsid w:val="001373AC"/>
    <w:rsid w:val="00141377"/>
    <w:rsid w:val="00142865"/>
    <w:rsid w:val="00151010"/>
    <w:rsid w:val="0015653C"/>
    <w:rsid w:val="00162C09"/>
    <w:rsid w:val="00162C4F"/>
    <w:rsid w:val="00162EDC"/>
    <w:rsid w:val="0016352B"/>
    <w:rsid w:val="0016434A"/>
    <w:rsid w:val="00166417"/>
    <w:rsid w:val="00171627"/>
    <w:rsid w:val="00171EB6"/>
    <w:rsid w:val="00172A27"/>
    <w:rsid w:val="00174A19"/>
    <w:rsid w:val="00176C4D"/>
    <w:rsid w:val="00181F72"/>
    <w:rsid w:val="001933DA"/>
    <w:rsid w:val="001A1B38"/>
    <w:rsid w:val="001A2460"/>
    <w:rsid w:val="001A24B5"/>
    <w:rsid w:val="001A28AD"/>
    <w:rsid w:val="001A5688"/>
    <w:rsid w:val="001A6AF3"/>
    <w:rsid w:val="001A6C4F"/>
    <w:rsid w:val="001B45AC"/>
    <w:rsid w:val="001C1196"/>
    <w:rsid w:val="001C4E92"/>
    <w:rsid w:val="001D33A5"/>
    <w:rsid w:val="001D5D9B"/>
    <w:rsid w:val="001E0D99"/>
    <w:rsid w:val="001E6417"/>
    <w:rsid w:val="001E666F"/>
    <w:rsid w:val="001E7672"/>
    <w:rsid w:val="001F59BD"/>
    <w:rsid w:val="001F6D32"/>
    <w:rsid w:val="00201772"/>
    <w:rsid w:val="002048A1"/>
    <w:rsid w:val="00207A55"/>
    <w:rsid w:val="00210BAD"/>
    <w:rsid w:val="00210C99"/>
    <w:rsid w:val="00215A43"/>
    <w:rsid w:val="002175A0"/>
    <w:rsid w:val="002178D8"/>
    <w:rsid w:val="0023317E"/>
    <w:rsid w:val="002349C8"/>
    <w:rsid w:val="00240FC7"/>
    <w:rsid w:val="002427EA"/>
    <w:rsid w:val="00246044"/>
    <w:rsid w:val="00246261"/>
    <w:rsid w:val="00247CDC"/>
    <w:rsid w:val="002512EA"/>
    <w:rsid w:val="002610C8"/>
    <w:rsid w:val="002619BF"/>
    <w:rsid w:val="00262FBF"/>
    <w:rsid w:val="0026361C"/>
    <w:rsid w:val="00267FC8"/>
    <w:rsid w:val="00271D8D"/>
    <w:rsid w:val="00277CFE"/>
    <w:rsid w:val="00281C58"/>
    <w:rsid w:val="002904E1"/>
    <w:rsid w:val="00293BB3"/>
    <w:rsid w:val="002944AA"/>
    <w:rsid w:val="0029679B"/>
    <w:rsid w:val="002A3A0D"/>
    <w:rsid w:val="002A77BB"/>
    <w:rsid w:val="002B58E0"/>
    <w:rsid w:val="002B6F1C"/>
    <w:rsid w:val="002C042C"/>
    <w:rsid w:val="002C3A48"/>
    <w:rsid w:val="002C6B38"/>
    <w:rsid w:val="002D244C"/>
    <w:rsid w:val="002D6B23"/>
    <w:rsid w:val="002E03B0"/>
    <w:rsid w:val="002E1D85"/>
    <w:rsid w:val="002E22DC"/>
    <w:rsid w:val="002E31DA"/>
    <w:rsid w:val="002E4F74"/>
    <w:rsid w:val="002E64A2"/>
    <w:rsid w:val="0030016D"/>
    <w:rsid w:val="00303CE3"/>
    <w:rsid w:val="003162D4"/>
    <w:rsid w:val="00320F67"/>
    <w:rsid w:val="00322D8C"/>
    <w:rsid w:val="00325ABF"/>
    <w:rsid w:val="00325B1B"/>
    <w:rsid w:val="003261A2"/>
    <w:rsid w:val="00332677"/>
    <w:rsid w:val="0033310A"/>
    <w:rsid w:val="00333D13"/>
    <w:rsid w:val="00336023"/>
    <w:rsid w:val="003363D2"/>
    <w:rsid w:val="00344B76"/>
    <w:rsid w:val="00347A1E"/>
    <w:rsid w:val="00353F64"/>
    <w:rsid w:val="003542C5"/>
    <w:rsid w:val="00355EFD"/>
    <w:rsid w:val="0035763B"/>
    <w:rsid w:val="00357844"/>
    <w:rsid w:val="0036007D"/>
    <w:rsid w:val="00360C07"/>
    <w:rsid w:val="00361283"/>
    <w:rsid w:val="00362FAA"/>
    <w:rsid w:val="003645C3"/>
    <w:rsid w:val="003651A3"/>
    <w:rsid w:val="003701A6"/>
    <w:rsid w:val="00373F00"/>
    <w:rsid w:val="00374079"/>
    <w:rsid w:val="00374411"/>
    <w:rsid w:val="00374D33"/>
    <w:rsid w:val="00381376"/>
    <w:rsid w:val="00385D3F"/>
    <w:rsid w:val="00387D20"/>
    <w:rsid w:val="00392401"/>
    <w:rsid w:val="00394A3F"/>
    <w:rsid w:val="00395895"/>
    <w:rsid w:val="003973DC"/>
    <w:rsid w:val="003A1B2E"/>
    <w:rsid w:val="003A21D5"/>
    <w:rsid w:val="003A2BD2"/>
    <w:rsid w:val="003B4F9D"/>
    <w:rsid w:val="003B74C2"/>
    <w:rsid w:val="003C0CA9"/>
    <w:rsid w:val="003C21ED"/>
    <w:rsid w:val="003C33F5"/>
    <w:rsid w:val="003D2E1A"/>
    <w:rsid w:val="003D63CC"/>
    <w:rsid w:val="003D7D06"/>
    <w:rsid w:val="003E1B59"/>
    <w:rsid w:val="003E3E91"/>
    <w:rsid w:val="003E4580"/>
    <w:rsid w:val="003E5088"/>
    <w:rsid w:val="003E6352"/>
    <w:rsid w:val="003E7A30"/>
    <w:rsid w:val="003F0F01"/>
    <w:rsid w:val="003F69BC"/>
    <w:rsid w:val="003F732E"/>
    <w:rsid w:val="00404AC8"/>
    <w:rsid w:val="00411708"/>
    <w:rsid w:val="00411CCF"/>
    <w:rsid w:val="00423089"/>
    <w:rsid w:val="0042355D"/>
    <w:rsid w:val="0042495F"/>
    <w:rsid w:val="00425CBE"/>
    <w:rsid w:val="00426272"/>
    <w:rsid w:val="00426578"/>
    <w:rsid w:val="00427B69"/>
    <w:rsid w:val="004330A4"/>
    <w:rsid w:val="004337D8"/>
    <w:rsid w:val="00437398"/>
    <w:rsid w:val="00441ED4"/>
    <w:rsid w:val="00442BBE"/>
    <w:rsid w:val="0044337D"/>
    <w:rsid w:val="00447E98"/>
    <w:rsid w:val="00450085"/>
    <w:rsid w:val="00451A37"/>
    <w:rsid w:val="004526A7"/>
    <w:rsid w:val="004556F4"/>
    <w:rsid w:val="004625AD"/>
    <w:rsid w:val="00465BA1"/>
    <w:rsid w:val="00467EE8"/>
    <w:rsid w:val="00472083"/>
    <w:rsid w:val="0047354B"/>
    <w:rsid w:val="0047569D"/>
    <w:rsid w:val="004A211F"/>
    <w:rsid w:val="004B49AE"/>
    <w:rsid w:val="004B6413"/>
    <w:rsid w:val="004B73EC"/>
    <w:rsid w:val="004C0393"/>
    <w:rsid w:val="004C235B"/>
    <w:rsid w:val="004C4331"/>
    <w:rsid w:val="004C476A"/>
    <w:rsid w:val="004E552A"/>
    <w:rsid w:val="004E66C1"/>
    <w:rsid w:val="004E7F6D"/>
    <w:rsid w:val="004F725C"/>
    <w:rsid w:val="005000F3"/>
    <w:rsid w:val="00501759"/>
    <w:rsid w:val="0050332F"/>
    <w:rsid w:val="00507362"/>
    <w:rsid w:val="0051122A"/>
    <w:rsid w:val="005127BC"/>
    <w:rsid w:val="00516715"/>
    <w:rsid w:val="005177BE"/>
    <w:rsid w:val="00517D52"/>
    <w:rsid w:val="00522CE1"/>
    <w:rsid w:val="005252CF"/>
    <w:rsid w:val="00530317"/>
    <w:rsid w:val="00531F69"/>
    <w:rsid w:val="0054094E"/>
    <w:rsid w:val="00542D94"/>
    <w:rsid w:val="0055496D"/>
    <w:rsid w:val="00560239"/>
    <w:rsid w:val="00562A33"/>
    <w:rsid w:val="00563766"/>
    <w:rsid w:val="00564306"/>
    <w:rsid w:val="00565B1F"/>
    <w:rsid w:val="00570BC4"/>
    <w:rsid w:val="00571E75"/>
    <w:rsid w:val="005723AF"/>
    <w:rsid w:val="00573060"/>
    <w:rsid w:val="00575805"/>
    <w:rsid w:val="00584978"/>
    <w:rsid w:val="00591609"/>
    <w:rsid w:val="0059418B"/>
    <w:rsid w:val="0059509E"/>
    <w:rsid w:val="005A23AD"/>
    <w:rsid w:val="005A2E43"/>
    <w:rsid w:val="005A5A3D"/>
    <w:rsid w:val="005A7251"/>
    <w:rsid w:val="005B0BF9"/>
    <w:rsid w:val="005B3F56"/>
    <w:rsid w:val="005C15A3"/>
    <w:rsid w:val="005C3EA3"/>
    <w:rsid w:val="005C55DE"/>
    <w:rsid w:val="005C792F"/>
    <w:rsid w:val="005C7CFC"/>
    <w:rsid w:val="005D2A07"/>
    <w:rsid w:val="005D4A9D"/>
    <w:rsid w:val="005D509D"/>
    <w:rsid w:val="005D5A2F"/>
    <w:rsid w:val="005E2882"/>
    <w:rsid w:val="005F1EC4"/>
    <w:rsid w:val="006069A7"/>
    <w:rsid w:val="00607BFE"/>
    <w:rsid w:val="00610862"/>
    <w:rsid w:val="00610DA1"/>
    <w:rsid w:val="00616C93"/>
    <w:rsid w:val="006264FA"/>
    <w:rsid w:val="00627FB8"/>
    <w:rsid w:val="00633A48"/>
    <w:rsid w:val="00637FF0"/>
    <w:rsid w:val="0064337E"/>
    <w:rsid w:val="00646208"/>
    <w:rsid w:val="006471DC"/>
    <w:rsid w:val="006508AB"/>
    <w:rsid w:val="00651798"/>
    <w:rsid w:val="006604C1"/>
    <w:rsid w:val="00662212"/>
    <w:rsid w:val="00670CC8"/>
    <w:rsid w:val="00670EDB"/>
    <w:rsid w:val="00671F6A"/>
    <w:rsid w:val="00673BE1"/>
    <w:rsid w:val="00674ED8"/>
    <w:rsid w:val="00680A91"/>
    <w:rsid w:val="006A2252"/>
    <w:rsid w:val="006A5398"/>
    <w:rsid w:val="006A5CFF"/>
    <w:rsid w:val="006A7E9D"/>
    <w:rsid w:val="006B3B5C"/>
    <w:rsid w:val="006B6A86"/>
    <w:rsid w:val="006B79E6"/>
    <w:rsid w:val="006C208A"/>
    <w:rsid w:val="006C4DAD"/>
    <w:rsid w:val="006C5613"/>
    <w:rsid w:val="006C73C3"/>
    <w:rsid w:val="006D1E78"/>
    <w:rsid w:val="006D3D75"/>
    <w:rsid w:val="006D5E2B"/>
    <w:rsid w:val="006D7295"/>
    <w:rsid w:val="006F6B78"/>
    <w:rsid w:val="0070177C"/>
    <w:rsid w:val="00702210"/>
    <w:rsid w:val="007049F8"/>
    <w:rsid w:val="00707DA4"/>
    <w:rsid w:val="007106C9"/>
    <w:rsid w:val="00712B15"/>
    <w:rsid w:val="00714A93"/>
    <w:rsid w:val="00715322"/>
    <w:rsid w:val="00717F5C"/>
    <w:rsid w:val="00720AA2"/>
    <w:rsid w:val="007213EE"/>
    <w:rsid w:val="007236D7"/>
    <w:rsid w:val="00725BA9"/>
    <w:rsid w:val="007371AA"/>
    <w:rsid w:val="00742BFD"/>
    <w:rsid w:val="00743E64"/>
    <w:rsid w:val="00743E6F"/>
    <w:rsid w:val="00746EB6"/>
    <w:rsid w:val="007617EF"/>
    <w:rsid w:val="007701B0"/>
    <w:rsid w:val="007723A3"/>
    <w:rsid w:val="00785D71"/>
    <w:rsid w:val="00791B39"/>
    <w:rsid w:val="00791F61"/>
    <w:rsid w:val="00794B11"/>
    <w:rsid w:val="007A39A4"/>
    <w:rsid w:val="007A5D25"/>
    <w:rsid w:val="007A7E67"/>
    <w:rsid w:val="007B19E2"/>
    <w:rsid w:val="007B4F86"/>
    <w:rsid w:val="007B68E9"/>
    <w:rsid w:val="007C44B7"/>
    <w:rsid w:val="007C45E3"/>
    <w:rsid w:val="007C4F1D"/>
    <w:rsid w:val="007C5505"/>
    <w:rsid w:val="007D08D8"/>
    <w:rsid w:val="007D3308"/>
    <w:rsid w:val="007E5285"/>
    <w:rsid w:val="007F2256"/>
    <w:rsid w:val="008039A6"/>
    <w:rsid w:val="008043DE"/>
    <w:rsid w:val="00806383"/>
    <w:rsid w:val="00812527"/>
    <w:rsid w:val="00814517"/>
    <w:rsid w:val="008212E4"/>
    <w:rsid w:val="00821302"/>
    <w:rsid w:val="00825B89"/>
    <w:rsid w:val="00837C0C"/>
    <w:rsid w:val="00840D57"/>
    <w:rsid w:val="0084247E"/>
    <w:rsid w:val="0084371A"/>
    <w:rsid w:val="00844ACD"/>
    <w:rsid w:val="0085415B"/>
    <w:rsid w:val="00856309"/>
    <w:rsid w:val="00857D9C"/>
    <w:rsid w:val="0086052C"/>
    <w:rsid w:val="008617A6"/>
    <w:rsid w:val="0086478C"/>
    <w:rsid w:val="00867464"/>
    <w:rsid w:val="00870660"/>
    <w:rsid w:val="00871BC1"/>
    <w:rsid w:val="0087280A"/>
    <w:rsid w:val="0087406C"/>
    <w:rsid w:val="008746D6"/>
    <w:rsid w:val="00881AAB"/>
    <w:rsid w:val="00883DF0"/>
    <w:rsid w:val="008853C5"/>
    <w:rsid w:val="00895747"/>
    <w:rsid w:val="008A2B16"/>
    <w:rsid w:val="008A2FD2"/>
    <w:rsid w:val="008A45C1"/>
    <w:rsid w:val="008A51AA"/>
    <w:rsid w:val="008B2335"/>
    <w:rsid w:val="008B6BE9"/>
    <w:rsid w:val="008C2AC8"/>
    <w:rsid w:val="008C2DDA"/>
    <w:rsid w:val="008D1638"/>
    <w:rsid w:val="008D2566"/>
    <w:rsid w:val="008D25ED"/>
    <w:rsid w:val="008E0E87"/>
    <w:rsid w:val="008E10DB"/>
    <w:rsid w:val="008E36B2"/>
    <w:rsid w:val="008E38B9"/>
    <w:rsid w:val="008E64DA"/>
    <w:rsid w:val="008E6B4E"/>
    <w:rsid w:val="008F10F5"/>
    <w:rsid w:val="008F24AD"/>
    <w:rsid w:val="008F2B82"/>
    <w:rsid w:val="008F3D99"/>
    <w:rsid w:val="008F534B"/>
    <w:rsid w:val="008F6BB4"/>
    <w:rsid w:val="008F78B3"/>
    <w:rsid w:val="008F7F4F"/>
    <w:rsid w:val="009002FB"/>
    <w:rsid w:val="00906072"/>
    <w:rsid w:val="00911861"/>
    <w:rsid w:val="009140C2"/>
    <w:rsid w:val="009141F3"/>
    <w:rsid w:val="00917BC3"/>
    <w:rsid w:val="00921383"/>
    <w:rsid w:val="00924F77"/>
    <w:rsid w:val="00926625"/>
    <w:rsid w:val="009349CD"/>
    <w:rsid w:val="0094283C"/>
    <w:rsid w:val="009437D5"/>
    <w:rsid w:val="00950605"/>
    <w:rsid w:val="00951A92"/>
    <w:rsid w:val="0095478E"/>
    <w:rsid w:val="009548BD"/>
    <w:rsid w:val="009574A3"/>
    <w:rsid w:val="009578A6"/>
    <w:rsid w:val="009618A9"/>
    <w:rsid w:val="0096592E"/>
    <w:rsid w:val="00965F49"/>
    <w:rsid w:val="00967218"/>
    <w:rsid w:val="00970D00"/>
    <w:rsid w:val="009736FF"/>
    <w:rsid w:val="00973B5D"/>
    <w:rsid w:val="00976A71"/>
    <w:rsid w:val="009776C3"/>
    <w:rsid w:val="00980677"/>
    <w:rsid w:val="00981D3C"/>
    <w:rsid w:val="0098228C"/>
    <w:rsid w:val="00982B72"/>
    <w:rsid w:val="0098647C"/>
    <w:rsid w:val="00993A2B"/>
    <w:rsid w:val="0099799F"/>
    <w:rsid w:val="009A09E7"/>
    <w:rsid w:val="009A30C9"/>
    <w:rsid w:val="009A446A"/>
    <w:rsid w:val="009B2135"/>
    <w:rsid w:val="009B4E8B"/>
    <w:rsid w:val="009B732B"/>
    <w:rsid w:val="009C091C"/>
    <w:rsid w:val="009C17FC"/>
    <w:rsid w:val="009C6D24"/>
    <w:rsid w:val="009C7AF7"/>
    <w:rsid w:val="009E2785"/>
    <w:rsid w:val="009E6B4A"/>
    <w:rsid w:val="009F1AD0"/>
    <w:rsid w:val="009F39FF"/>
    <w:rsid w:val="009F6EE7"/>
    <w:rsid w:val="00A0014E"/>
    <w:rsid w:val="00A02D6B"/>
    <w:rsid w:val="00A1101D"/>
    <w:rsid w:val="00A11CE1"/>
    <w:rsid w:val="00A15856"/>
    <w:rsid w:val="00A20401"/>
    <w:rsid w:val="00A20BB4"/>
    <w:rsid w:val="00A21042"/>
    <w:rsid w:val="00A22666"/>
    <w:rsid w:val="00A26D6E"/>
    <w:rsid w:val="00A42A6D"/>
    <w:rsid w:val="00A53472"/>
    <w:rsid w:val="00A558EA"/>
    <w:rsid w:val="00A61410"/>
    <w:rsid w:val="00A61FEA"/>
    <w:rsid w:val="00A65DD0"/>
    <w:rsid w:val="00A6796B"/>
    <w:rsid w:val="00A72527"/>
    <w:rsid w:val="00A76EB3"/>
    <w:rsid w:val="00A7729F"/>
    <w:rsid w:val="00A81D18"/>
    <w:rsid w:val="00A85514"/>
    <w:rsid w:val="00A8566C"/>
    <w:rsid w:val="00A864FC"/>
    <w:rsid w:val="00A9335D"/>
    <w:rsid w:val="00A93BDC"/>
    <w:rsid w:val="00A960F3"/>
    <w:rsid w:val="00AB0037"/>
    <w:rsid w:val="00AB3CA7"/>
    <w:rsid w:val="00AB4635"/>
    <w:rsid w:val="00AB5FB8"/>
    <w:rsid w:val="00AC6B83"/>
    <w:rsid w:val="00AC73D6"/>
    <w:rsid w:val="00AD19A1"/>
    <w:rsid w:val="00AD4790"/>
    <w:rsid w:val="00AD49F8"/>
    <w:rsid w:val="00AD738F"/>
    <w:rsid w:val="00AE1DBB"/>
    <w:rsid w:val="00AE318D"/>
    <w:rsid w:val="00AF1974"/>
    <w:rsid w:val="00AF28C6"/>
    <w:rsid w:val="00B04946"/>
    <w:rsid w:val="00B117CB"/>
    <w:rsid w:val="00B13FC0"/>
    <w:rsid w:val="00B16684"/>
    <w:rsid w:val="00B204D1"/>
    <w:rsid w:val="00B227EF"/>
    <w:rsid w:val="00B24240"/>
    <w:rsid w:val="00B3099B"/>
    <w:rsid w:val="00B3244F"/>
    <w:rsid w:val="00B41C15"/>
    <w:rsid w:val="00B4744E"/>
    <w:rsid w:val="00B50C99"/>
    <w:rsid w:val="00B50FEF"/>
    <w:rsid w:val="00B51D2F"/>
    <w:rsid w:val="00B70C41"/>
    <w:rsid w:val="00B70E93"/>
    <w:rsid w:val="00B732DD"/>
    <w:rsid w:val="00B764BA"/>
    <w:rsid w:val="00B773D4"/>
    <w:rsid w:val="00B80EFE"/>
    <w:rsid w:val="00B82C71"/>
    <w:rsid w:val="00B82E5D"/>
    <w:rsid w:val="00B901E8"/>
    <w:rsid w:val="00B92879"/>
    <w:rsid w:val="00B9637C"/>
    <w:rsid w:val="00B96E20"/>
    <w:rsid w:val="00BA0CE8"/>
    <w:rsid w:val="00BA5B73"/>
    <w:rsid w:val="00BA5D17"/>
    <w:rsid w:val="00BA72C4"/>
    <w:rsid w:val="00BB017A"/>
    <w:rsid w:val="00BB2D25"/>
    <w:rsid w:val="00BB77A3"/>
    <w:rsid w:val="00BB783C"/>
    <w:rsid w:val="00BC4384"/>
    <w:rsid w:val="00BD08A3"/>
    <w:rsid w:val="00BD2499"/>
    <w:rsid w:val="00BD72BC"/>
    <w:rsid w:val="00BE1052"/>
    <w:rsid w:val="00BE3CC0"/>
    <w:rsid w:val="00BF13D7"/>
    <w:rsid w:val="00BF1A66"/>
    <w:rsid w:val="00BF347D"/>
    <w:rsid w:val="00C043D7"/>
    <w:rsid w:val="00C07B51"/>
    <w:rsid w:val="00C1227D"/>
    <w:rsid w:val="00C13BFF"/>
    <w:rsid w:val="00C13FF7"/>
    <w:rsid w:val="00C15836"/>
    <w:rsid w:val="00C159D5"/>
    <w:rsid w:val="00C15DC8"/>
    <w:rsid w:val="00C1645D"/>
    <w:rsid w:val="00C25771"/>
    <w:rsid w:val="00C26DF0"/>
    <w:rsid w:val="00C33DFD"/>
    <w:rsid w:val="00C353D1"/>
    <w:rsid w:val="00C35814"/>
    <w:rsid w:val="00C35C97"/>
    <w:rsid w:val="00C35CC8"/>
    <w:rsid w:val="00C37725"/>
    <w:rsid w:val="00C37FFD"/>
    <w:rsid w:val="00C40975"/>
    <w:rsid w:val="00C41F20"/>
    <w:rsid w:val="00C427D5"/>
    <w:rsid w:val="00C46E3C"/>
    <w:rsid w:val="00C51272"/>
    <w:rsid w:val="00C56226"/>
    <w:rsid w:val="00C57621"/>
    <w:rsid w:val="00C62CF0"/>
    <w:rsid w:val="00C6406B"/>
    <w:rsid w:val="00C669D2"/>
    <w:rsid w:val="00C73507"/>
    <w:rsid w:val="00C73B6D"/>
    <w:rsid w:val="00C757C7"/>
    <w:rsid w:val="00C76463"/>
    <w:rsid w:val="00C81AA3"/>
    <w:rsid w:val="00C8224C"/>
    <w:rsid w:val="00CA02D5"/>
    <w:rsid w:val="00CA033C"/>
    <w:rsid w:val="00CA15D0"/>
    <w:rsid w:val="00CA7BF4"/>
    <w:rsid w:val="00CA7D46"/>
    <w:rsid w:val="00CB2794"/>
    <w:rsid w:val="00CB55A7"/>
    <w:rsid w:val="00CC4494"/>
    <w:rsid w:val="00CC4FCD"/>
    <w:rsid w:val="00CD4D17"/>
    <w:rsid w:val="00CD570D"/>
    <w:rsid w:val="00CD6766"/>
    <w:rsid w:val="00CD6905"/>
    <w:rsid w:val="00CD7693"/>
    <w:rsid w:val="00CE1368"/>
    <w:rsid w:val="00CE1B22"/>
    <w:rsid w:val="00CE2DB2"/>
    <w:rsid w:val="00CE5863"/>
    <w:rsid w:val="00CF00D1"/>
    <w:rsid w:val="00CF2E55"/>
    <w:rsid w:val="00D00A3D"/>
    <w:rsid w:val="00D11639"/>
    <w:rsid w:val="00D13174"/>
    <w:rsid w:val="00D1338F"/>
    <w:rsid w:val="00D1523D"/>
    <w:rsid w:val="00D16AA9"/>
    <w:rsid w:val="00D201E9"/>
    <w:rsid w:val="00D212A5"/>
    <w:rsid w:val="00D22274"/>
    <w:rsid w:val="00D25D74"/>
    <w:rsid w:val="00D2628E"/>
    <w:rsid w:val="00D3014B"/>
    <w:rsid w:val="00D364EF"/>
    <w:rsid w:val="00D42B14"/>
    <w:rsid w:val="00D43EE1"/>
    <w:rsid w:val="00D50FE5"/>
    <w:rsid w:val="00D5109B"/>
    <w:rsid w:val="00D51483"/>
    <w:rsid w:val="00D51CE0"/>
    <w:rsid w:val="00D57631"/>
    <w:rsid w:val="00D57E0D"/>
    <w:rsid w:val="00D64D4C"/>
    <w:rsid w:val="00D65129"/>
    <w:rsid w:val="00D81FE9"/>
    <w:rsid w:val="00D83733"/>
    <w:rsid w:val="00D8388D"/>
    <w:rsid w:val="00D83CD1"/>
    <w:rsid w:val="00D843B2"/>
    <w:rsid w:val="00D870BE"/>
    <w:rsid w:val="00D93115"/>
    <w:rsid w:val="00DA6B10"/>
    <w:rsid w:val="00DA703B"/>
    <w:rsid w:val="00DB4C71"/>
    <w:rsid w:val="00DC436B"/>
    <w:rsid w:val="00DE2D8A"/>
    <w:rsid w:val="00DE34AF"/>
    <w:rsid w:val="00DE3E15"/>
    <w:rsid w:val="00DE7870"/>
    <w:rsid w:val="00DE7E4D"/>
    <w:rsid w:val="00DF1A12"/>
    <w:rsid w:val="00DF58D6"/>
    <w:rsid w:val="00E01366"/>
    <w:rsid w:val="00E03DE1"/>
    <w:rsid w:val="00E11D2F"/>
    <w:rsid w:val="00E12794"/>
    <w:rsid w:val="00E13E71"/>
    <w:rsid w:val="00E15BCC"/>
    <w:rsid w:val="00E16A40"/>
    <w:rsid w:val="00E17FB0"/>
    <w:rsid w:val="00E2011E"/>
    <w:rsid w:val="00E31BBB"/>
    <w:rsid w:val="00E3392A"/>
    <w:rsid w:val="00E34C5A"/>
    <w:rsid w:val="00E36F99"/>
    <w:rsid w:val="00E43E99"/>
    <w:rsid w:val="00E444B6"/>
    <w:rsid w:val="00E507D5"/>
    <w:rsid w:val="00E5234F"/>
    <w:rsid w:val="00E55E34"/>
    <w:rsid w:val="00E57BA7"/>
    <w:rsid w:val="00E613A1"/>
    <w:rsid w:val="00E61838"/>
    <w:rsid w:val="00E655A8"/>
    <w:rsid w:val="00E7034B"/>
    <w:rsid w:val="00E73410"/>
    <w:rsid w:val="00E73535"/>
    <w:rsid w:val="00E75E6B"/>
    <w:rsid w:val="00E773A5"/>
    <w:rsid w:val="00E821B9"/>
    <w:rsid w:val="00E82698"/>
    <w:rsid w:val="00E83462"/>
    <w:rsid w:val="00E848B3"/>
    <w:rsid w:val="00EA3AE1"/>
    <w:rsid w:val="00EB2441"/>
    <w:rsid w:val="00EB3601"/>
    <w:rsid w:val="00EC2848"/>
    <w:rsid w:val="00EC4729"/>
    <w:rsid w:val="00ED4567"/>
    <w:rsid w:val="00ED56BA"/>
    <w:rsid w:val="00EE3DE4"/>
    <w:rsid w:val="00EF062D"/>
    <w:rsid w:val="00EF7A80"/>
    <w:rsid w:val="00EF7C8F"/>
    <w:rsid w:val="00F0361C"/>
    <w:rsid w:val="00F06B7E"/>
    <w:rsid w:val="00F06D25"/>
    <w:rsid w:val="00F07399"/>
    <w:rsid w:val="00F10321"/>
    <w:rsid w:val="00F13440"/>
    <w:rsid w:val="00F20BD7"/>
    <w:rsid w:val="00F230D0"/>
    <w:rsid w:val="00F27816"/>
    <w:rsid w:val="00F27FDA"/>
    <w:rsid w:val="00F31016"/>
    <w:rsid w:val="00F32C01"/>
    <w:rsid w:val="00F36E1D"/>
    <w:rsid w:val="00F43D21"/>
    <w:rsid w:val="00F469C5"/>
    <w:rsid w:val="00F47002"/>
    <w:rsid w:val="00F472D9"/>
    <w:rsid w:val="00F4796B"/>
    <w:rsid w:val="00F53F82"/>
    <w:rsid w:val="00F55D9F"/>
    <w:rsid w:val="00F63AE0"/>
    <w:rsid w:val="00F6484A"/>
    <w:rsid w:val="00F81507"/>
    <w:rsid w:val="00F82D3D"/>
    <w:rsid w:val="00F83427"/>
    <w:rsid w:val="00F83828"/>
    <w:rsid w:val="00F86560"/>
    <w:rsid w:val="00F90FAA"/>
    <w:rsid w:val="00F91C12"/>
    <w:rsid w:val="00F92333"/>
    <w:rsid w:val="00F938CD"/>
    <w:rsid w:val="00FA37E3"/>
    <w:rsid w:val="00FB33F4"/>
    <w:rsid w:val="00FB545C"/>
    <w:rsid w:val="00FC13DB"/>
    <w:rsid w:val="00FC33AF"/>
    <w:rsid w:val="00FC3B64"/>
    <w:rsid w:val="00FC7D43"/>
    <w:rsid w:val="00FD117E"/>
    <w:rsid w:val="00FD23E6"/>
    <w:rsid w:val="00FD50DB"/>
    <w:rsid w:val="00FD759C"/>
    <w:rsid w:val="00FE28A1"/>
    <w:rsid w:val="00FE2F00"/>
    <w:rsid w:val="00FF1A92"/>
    <w:rsid w:val="00FF384E"/>
    <w:rsid w:val="00FF7A1D"/>
    <w:rsid w:val="016408E6"/>
    <w:rsid w:val="040AF4D9"/>
    <w:rsid w:val="0424EBCC"/>
    <w:rsid w:val="064C75F4"/>
    <w:rsid w:val="06C78F51"/>
    <w:rsid w:val="0BD4D51C"/>
    <w:rsid w:val="15B8333E"/>
    <w:rsid w:val="1A657AF3"/>
    <w:rsid w:val="1F790EA2"/>
    <w:rsid w:val="2358CA25"/>
    <w:rsid w:val="2B576A9F"/>
    <w:rsid w:val="2C1EEFC0"/>
    <w:rsid w:val="2CD591A5"/>
    <w:rsid w:val="334FC5EA"/>
    <w:rsid w:val="3E54D7F4"/>
    <w:rsid w:val="41085324"/>
    <w:rsid w:val="45896AD2"/>
    <w:rsid w:val="462AB309"/>
    <w:rsid w:val="47D6FF34"/>
    <w:rsid w:val="4A735D44"/>
    <w:rsid w:val="4C8A540E"/>
    <w:rsid w:val="4D68D921"/>
    <w:rsid w:val="5F1AA40C"/>
    <w:rsid w:val="6118B63A"/>
    <w:rsid w:val="64949CB9"/>
    <w:rsid w:val="6723F188"/>
    <w:rsid w:val="697568A8"/>
    <w:rsid w:val="69BE1380"/>
    <w:rsid w:val="6ACB8159"/>
    <w:rsid w:val="6DBBDFFE"/>
    <w:rsid w:val="7277B054"/>
    <w:rsid w:val="7486FA75"/>
    <w:rsid w:val="7F84B589"/>
    <w:rsid w:val="7F9CA27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59B926C6-2A77-42D5-890D-DD66FECE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6C4DAD"/>
    <w:pPr>
      <w:spacing w:after="0" w:line="240" w:lineRule="auto"/>
    </w:pPr>
  </w:style>
  <w:style w:type="paragraph" w:styleId="Textodeglobo">
    <w:name w:val="Balloon Text"/>
    <w:basedOn w:val="Normal"/>
    <w:link w:val="TextodegloboCar"/>
    <w:uiPriority w:val="99"/>
    <w:semiHidden/>
    <w:unhideWhenUsed/>
    <w:rsid w:val="00AB46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635"/>
    <w:rPr>
      <w:rFonts w:ascii="Segoe UI" w:hAnsi="Segoe UI" w:cs="Segoe UI"/>
      <w:sz w:val="18"/>
      <w:szCs w:val="18"/>
    </w:rPr>
  </w:style>
  <w:style w:type="character" w:styleId="Refdecomentario">
    <w:name w:val="annotation reference"/>
    <w:basedOn w:val="Fuentedeprrafopredeter"/>
    <w:uiPriority w:val="99"/>
    <w:semiHidden/>
    <w:unhideWhenUsed/>
    <w:rsid w:val="00355EFD"/>
    <w:rPr>
      <w:sz w:val="16"/>
      <w:szCs w:val="16"/>
    </w:rPr>
  </w:style>
  <w:style w:type="paragraph" w:styleId="Textocomentario">
    <w:name w:val="annotation text"/>
    <w:basedOn w:val="Normal"/>
    <w:link w:val="TextocomentarioCar"/>
    <w:uiPriority w:val="99"/>
    <w:unhideWhenUsed/>
    <w:rsid w:val="00355EFD"/>
    <w:pPr>
      <w:spacing w:line="240" w:lineRule="auto"/>
    </w:pPr>
    <w:rPr>
      <w:sz w:val="20"/>
      <w:szCs w:val="20"/>
    </w:rPr>
  </w:style>
  <w:style w:type="character" w:customStyle="1" w:styleId="TextocomentarioCar">
    <w:name w:val="Texto comentario Car"/>
    <w:basedOn w:val="Fuentedeprrafopredeter"/>
    <w:link w:val="Textocomentario"/>
    <w:uiPriority w:val="99"/>
    <w:rsid w:val="00355EFD"/>
    <w:rPr>
      <w:sz w:val="20"/>
      <w:szCs w:val="20"/>
    </w:rPr>
  </w:style>
  <w:style w:type="paragraph" w:styleId="Asuntodelcomentario">
    <w:name w:val="annotation subject"/>
    <w:basedOn w:val="Textocomentario"/>
    <w:next w:val="Textocomentario"/>
    <w:link w:val="AsuntodelcomentarioCar"/>
    <w:uiPriority w:val="99"/>
    <w:semiHidden/>
    <w:unhideWhenUsed/>
    <w:rsid w:val="00355EFD"/>
    <w:rPr>
      <w:b/>
      <w:bCs/>
    </w:rPr>
  </w:style>
  <w:style w:type="character" w:customStyle="1" w:styleId="AsuntodelcomentarioCar">
    <w:name w:val="Asunto del comentario Car"/>
    <w:basedOn w:val="TextocomentarioCar"/>
    <w:link w:val="Asuntodelcomentario"/>
    <w:uiPriority w:val="99"/>
    <w:semiHidden/>
    <w:rsid w:val="00355EFD"/>
    <w:rPr>
      <w:b/>
      <w:bCs/>
      <w:sz w:val="20"/>
      <w:szCs w:val="20"/>
    </w:rPr>
  </w:style>
  <w:style w:type="paragraph" w:styleId="Encabezado">
    <w:name w:val="header"/>
    <w:basedOn w:val="Normal"/>
    <w:link w:val="EncabezadoCar"/>
    <w:uiPriority w:val="99"/>
    <w:semiHidden/>
    <w:unhideWhenUsed/>
    <w:rsid w:val="00F865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64337E"/>
  </w:style>
  <w:style w:type="paragraph" w:styleId="Piedepgina">
    <w:name w:val="footer"/>
    <w:basedOn w:val="Normal"/>
    <w:link w:val="PiedepginaCar"/>
    <w:uiPriority w:val="99"/>
    <w:semiHidden/>
    <w:unhideWhenUsed/>
    <w:rsid w:val="00F865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64337E"/>
  </w:style>
  <w:style w:type="character" w:styleId="Textodelmarcadordeposicin">
    <w:name w:val="Placeholder Text"/>
    <w:basedOn w:val="Fuentedeprrafopredeter"/>
    <w:uiPriority w:val="99"/>
    <w:semiHidden/>
    <w:rsid w:val="006069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0E47-70B1-4166-89C9-1F218C75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9</Pages>
  <Words>4200</Words>
  <Characters>23106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365</cp:revision>
  <dcterms:created xsi:type="dcterms:W3CDTF">2023-06-16T06:09:00Z</dcterms:created>
  <dcterms:modified xsi:type="dcterms:W3CDTF">2025-07-03T22:50:00Z</dcterms:modified>
</cp:coreProperties>
</file>