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9487"/>
      </w:tblGrid>
      <w:tr w:rsidR="00EF7C8F" w14:paraId="62A1AD1D" w14:textId="77777777" w:rsidTr="00573060">
        <w:trPr>
          <w:trHeight w:val="708"/>
        </w:trPr>
        <w:tc>
          <w:tcPr>
            <w:tcW w:w="9493" w:type="dxa"/>
          </w:tcPr>
          <w:p w14:paraId="5F4F0215" w14:textId="29E4E072" w:rsidR="00EF7C8F" w:rsidRPr="009C04C3" w:rsidRDefault="00EF7C8F" w:rsidP="00573060">
            <w:pPr>
              <w:spacing w:line="276" w:lineRule="auto"/>
              <w:jc w:val="center"/>
              <w:rPr>
                <w:rFonts w:ascii="Arial" w:hAnsi="Arial"/>
                <w:b/>
                <w:snapToGrid w:val="0"/>
                <w:color w:val="000000"/>
                <w:sz w:val="24"/>
              </w:rPr>
            </w:pPr>
            <w:bookmarkStart w:id="0" w:name="_Hlk60148253"/>
            <w:r w:rsidRPr="009C04C3">
              <w:rPr>
                <w:rFonts w:ascii="Arial" w:hAnsi="Arial"/>
                <w:b/>
                <w:snapToGrid w:val="0"/>
                <w:color w:val="000000"/>
                <w:sz w:val="24"/>
              </w:rPr>
              <w:t xml:space="preserve">FORMATO </w:t>
            </w:r>
            <w:proofErr w:type="spellStart"/>
            <w:r w:rsidRPr="009C04C3">
              <w:rPr>
                <w:rFonts w:ascii="Arial" w:hAnsi="Arial"/>
                <w:b/>
                <w:snapToGrid w:val="0"/>
                <w:color w:val="000000"/>
                <w:sz w:val="24"/>
              </w:rPr>
              <w:t>N°</w:t>
            </w:r>
            <w:proofErr w:type="spellEnd"/>
            <w:r w:rsidRPr="009C04C3">
              <w:rPr>
                <w:rFonts w:ascii="Arial" w:hAnsi="Arial"/>
                <w:b/>
                <w:snapToGrid w:val="0"/>
                <w:color w:val="000000"/>
                <w:sz w:val="24"/>
              </w:rPr>
              <w:t xml:space="preserve"> 04-A:</w:t>
            </w:r>
          </w:p>
          <w:p w14:paraId="55636EE2" w14:textId="60210834" w:rsidR="00EF7C8F" w:rsidRPr="00EF7C8F" w:rsidRDefault="00EF7C8F" w:rsidP="00573060">
            <w:pPr>
              <w:spacing w:line="276" w:lineRule="auto"/>
              <w:jc w:val="center"/>
              <w:rPr>
                <w:rFonts w:ascii="Arial" w:hAnsi="Arial"/>
                <w:b/>
                <w:snapToGrid w:val="0"/>
                <w:color w:val="000000"/>
                <w:sz w:val="24"/>
              </w:rPr>
            </w:pPr>
            <w:r w:rsidRPr="009C04C3">
              <w:rPr>
                <w:rFonts w:ascii="Arial" w:hAnsi="Arial"/>
                <w:b/>
                <w:snapToGrid w:val="0"/>
                <w:color w:val="000000"/>
                <w:sz w:val="24"/>
              </w:rPr>
              <w:t>INDICADOR DE BRECHA</w:t>
            </w:r>
          </w:p>
        </w:tc>
      </w:tr>
    </w:tbl>
    <w:p w14:paraId="4AB9ECEF" w14:textId="6F7B29A5" w:rsidR="007C4F1D" w:rsidRDefault="007C4F1D"/>
    <w:tbl>
      <w:tblPr>
        <w:tblStyle w:val="Tablaconcuadrcula"/>
        <w:tblW w:w="9493" w:type="dxa"/>
        <w:tblLook w:val="04A0" w:firstRow="1" w:lastRow="0" w:firstColumn="1" w:lastColumn="0" w:noHBand="0" w:noVBand="1"/>
      </w:tblPr>
      <w:tblGrid>
        <w:gridCol w:w="1413"/>
        <w:gridCol w:w="566"/>
        <w:gridCol w:w="7514"/>
      </w:tblGrid>
      <w:tr w:rsidR="0003669C" w:rsidRPr="0003669C" w14:paraId="68950F46" w14:textId="77777777" w:rsidTr="00501759">
        <w:trPr>
          <w:trHeight w:val="401"/>
        </w:trPr>
        <w:tc>
          <w:tcPr>
            <w:tcW w:w="1413" w:type="dxa"/>
            <w:vAlign w:val="center"/>
          </w:tcPr>
          <w:p w14:paraId="5382E33E" w14:textId="473C8DEA" w:rsidR="00DE2D8A" w:rsidRPr="0003669C" w:rsidRDefault="00DE2D8A" w:rsidP="009F6EE7">
            <w:pPr>
              <w:rPr>
                <w:rFonts w:ascii="Arial" w:hAnsi="Arial" w:cs="Arial"/>
                <w:b/>
                <w:bCs/>
                <w:sz w:val="16"/>
                <w:szCs w:val="16"/>
              </w:rPr>
            </w:pPr>
            <w:r w:rsidRPr="0003669C">
              <w:rPr>
                <w:rFonts w:ascii="Arial" w:hAnsi="Arial" w:cs="Arial"/>
                <w:b/>
                <w:bCs/>
                <w:sz w:val="16"/>
                <w:szCs w:val="16"/>
              </w:rPr>
              <w:t>Sector Responsable</w:t>
            </w:r>
          </w:p>
        </w:tc>
        <w:tc>
          <w:tcPr>
            <w:tcW w:w="566" w:type="dxa"/>
            <w:shd w:val="clear" w:color="auto" w:fill="auto"/>
            <w:vAlign w:val="center"/>
          </w:tcPr>
          <w:p w14:paraId="4CE4646E" w14:textId="08D5E48F" w:rsidR="00DE2D8A" w:rsidRPr="0003669C" w:rsidRDefault="00E5234F" w:rsidP="00FA37E3">
            <w:pPr>
              <w:jc w:val="center"/>
              <w:rPr>
                <w:rFonts w:ascii="Arial" w:hAnsi="Arial" w:cs="Arial"/>
                <w:sz w:val="16"/>
                <w:szCs w:val="16"/>
              </w:rPr>
            </w:pPr>
            <w:r w:rsidRPr="0003669C">
              <w:rPr>
                <w:rFonts w:ascii="Arial" w:hAnsi="Arial" w:cs="Arial"/>
                <w:sz w:val="16"/>
                <w:szCs w:val="16"/>
              </w:rPr>
              <w:t>10</w:t>
            </w:r>
          </w:p>
        </w:tc>
        <w:tc>
          <w:tcPr>
            <w:tcW w:w="7514" w:type="dxa"/>
            <w:shd w:val="clear" w:color="auto" w:fill="auto"/>
            <w:vAlign w:val="center"/>
          </w:tcPr>
          <w:p w14:paraId="70EDA9B9" w14:textId="64292507" w:rsidR="00DE2D8A" w:rsidRPr="0003669C" w:rsidRDefault="00442BBE">
            <w:pPr>
              <w:rPr>
                <w:rFonts w:ascii="Arial" w:hAnsi="Arial" w:cs="Arial"/>
                <w:sz w:val="16"/>
                <w:szCs w:val="16"/>
              </w:rPr>
            </w:pPr>
            <w:r w:rsidRPr="0003669C">
              <w:rPr>
                <w:rFonts w:ascii="Arial" w:hAnsi="Arial" w:cs="Arial"/>
                <w:sz w:val="16"/>
                <w:szCs w:val="16"/>
              </w:rPr>
              <w:t>Educación</w:t>
            </w:r>
          </w:p>
        </w:tc>
      </w:tr>
      <w:tr w:rsidR="003B21BA" w:rsidRPr="003B21BA" w14:paraId="6C0C447A" w14:textId="77777777" w:rsidTr="00501759">
        <w:trPr>
          <w:trHeight w:val="423"/>
        </w:trPr>
        <w:tc>
          <w:tcPr>
            <w:tcW w:w="1413" w:type="dxa"/>
            <w:vAlign w:val="center"/>
          </w:tcPr>
          <w:p w14:paraId="3977CE04" w14:textId="72468A0B" w:rsidR="00DE2D8A" w:rsidRPr="003B21BA" w:rsidRDefault="00B4744E" w:rsidP="009F6EE7">
            <w:pPr>
              <w:rPr>
                <w:rFonts w:ascii="Arial" w:hAnsi="Arial" w:cs="Arial"/>
                <w:b/>
                <w:bCs/>
                <w:sz w:val="16"/>
                <w:szCs w:val="16"/>
              </w:rPr>
            </w:pPr>
            <w:r w:rsidRPr="003B21BA">
              <w:rPr>
                <w:rFonts w:ascii="Arial" w:hAnsi="Arial" w:cs="Arial"/>
                <w:b/>
                <w:bCs/>
                <w:sz w:val="16"/>
                <w:szCs w:val="16"/>
              </w:rPr>
              <w:t xml:space="preserve">Nombre del Indicador </w:t>
            </w:r>
          </w:p>
        </w:tc>
        <w:tc>
          <w:tcPr>
            <w:tcW w:w="566" w:type="dxa"/>
            <w:shd w:val="clear" w:color="auto" w:fill="auto"/>
            <w:vAlign w:val="center"/>
          </w:tcPr>
          <w:p w14:paraId="3172FC95" w14:textId="1C4AE2BC" w:rsidR="00DE2D8A" w:rsidRPr="003B21BA" w:rsidRDefault="003B21BA" w:rsidP="004B0AA4">
            <w:pPr>
              <w:jc w:val="center"/>
              <w:rPr>
                <w:rFonts w:ascii="Arial" w:hAnsi="Arial" w:cs="Arial"/>
                <w:sz w:val="16"/>
                <w:szCs w:val="16"/>
              </w:rPr>
            </w:pPr>
            <w:r w:rsidRPr="003B21BA">
              <w:rPr>
                <w:rFonts w:ascii="Arial" w:hAnsi="Arial" w:cs="Arial"/>
                <w:sz w:val="16"/>
                <w:szCs w:val="16"/>
              </w:rPr>
              <w:t>434</w:t>
            </w:r>
          </w:p>
        </w:tc>
        <w:tc>
          <w:tcPr>
            <w:tcW w:w="7514" w:type="dxa"/>
            <w:shd w:val="clear" w:color="auto" w:fill="auto"/>
            <w:vAlign w:val="center"/>
          </w:tcPr>
          <w:p w14:paraId="2350C117" w14:textId="7BBCFA7B" w:rsidR="00DE2D8A" w:rsidRPr="003B21BA" w:rsidRDefault="003B21BA">
            <w:pPr>
              <w:rPr>
                <w:rFonts w:ascii="Arial" w:hAnsi="Arial" w:cs="Arial"/>
                <w:sz w:val="16"/>
                <w:szCs w:val="16"/>
              </w:rPr>
            </w:pPr>
            <w:r w:rsidRPr="003B21BA">
              <w:rPr>
                <w:rFonts w:ascii="Arial" w:hAnsi="Arial" w:cs="Arial"/>
                <w:sz w:val="16"/>
                <w:szCs w:val="16"/>
              </w:rPr>
              <w:t xml:space="preserve">Porcentaje de Centros de Extensión Cultural, Proyección Social y Educación Continua </w:t>
            </w:r>
            <w:r w:rsidR="00AD7B5E">
              <w:rPr>
                <w:rFonts w:ascii="Arial" w:hAnsi="Arial" w:cs="Arial"/>
                <w:sz w:val="16"/>
                <w:szCs w:val="16"/>
              </w:rPr>
              <w:t>en</w:t>
            </w:r>
            <w:r w:rsidR="00CE066F">
              <w:rPr>
                <w:rFonts w:ascii="Arial" w:hAnsi="Arial" w:cs="Arial"/>
                <w:sz w:val="16"/>
                <w:szCs w:val="16"/>
              </w:rPr>
              <w:t xml:space="preserve"> las universidades públicas </w:t>
            </w:r>
            <w:r w:rsidR="00445B84" w:rsidRPr="00445B84">
              <w:rPr>
                <w:rFonts w:ascii="Arial" w:hAnsi="Arial" w:cs="Arial"/>
                <w:sz w:val="16"/>
                <w:szCs w:val="16"/>
              </w:rPr>
              <w:t>en condiciones inadecuadas</w:t>
            </w:r>
          </w:p>
        </w:tc>
      </w:tr>
      <w:tr w:rsidR="003B21BA" w:rsidRPr="003B21BA" w14:paraId="11A718E3" w14:textId="77777777" w:rsidTr="00501759">
        <w:trPr>
          <w:trHeight w:val="448"/>
        </w:trPr>
        <w:tc>
          <w:tcPr>
            <w:tcW w:w="1413" w:type="dxa"/>
            <w:vAlign w:val="center"/>
          </w:tcPr>
          <w:p w14:paraId="57EC8604" w14:textId="7E21759A" w:rsidR="00FA37E3" w:rsidRPr="003B21BA" w:rsidRDefault="00FA37E3" w:rsidP="009F6EE7">
            <w:pPr>
              <w:rPr>
                <w:rFonts w:ascii="Arial" w:hAnsi="Arial" w:cs="Arial"/>
                <w:sz w:val="16"/>
                <w:szCs w:val="16"/>
              </w:rPr>
            </w:pPr>
            <w:r w:rsidRPr="003B21BA">
              <w:rPr>
                <w:rFonts w:ascii="Arial" w:hAnsi="Arial" w:cs="Arial"/>
                <w:b/>
                <w:bCs/>
                <w:sz w:val="16"/>
                <w:szCs w:val="16"/>
              </w:rPr>
              <w:t>Tipo de Indicador</w:t>
            </w:r>
          </w:p>
        </w:tc>
        <w:tc>
          <w:tcPr>
            <w:tcW w:w="8080" w:type="dxa"/>
            <w:gridSpan w:val="2"/>
            <w:shd w:val="clear" w:color="auto" w:fill="auto"/>
            <w:vAlign w:val="center"/>
          </w:tcPr>
          <w:p w14:paraId="6994EF24" w14:textId="56476DD2" w:rsidR="00FA37E3" w:rsidRPr="003B21BA" w:rsidRDefault="00442BBE">
            <w:pPr>
              <w:rPr>
                <w:rFonts w:ascii="Arial" w:hAnsi="Arial" w:cs="Arial"/>
                <w:sz w:val="16"/>
                <w:szCs w:val="16"/>
              </w:rPr>
            </w:pPr>
            <w:r w:rsidRPr="003B21BA">
              <w:rPr>
                <w:rFonts w:ascii="Arial" w:hAnsi="Arial" w:cs="Arial"/>
                <w:sz w:val="16"/>
                <w:szCs w:val="16"/>
              </w:rPr>
              <w:t>Calidad</w:t>
            </w:r>
          </w:p>
        </w:tc>
      </w:tr>
      <w:tr w:rsidR="003B21BA" w:rsidRPr="003B21BA" w14:paraId="0C106DDE" w14:textId="77777777" w:rsidTr="00501759">
        <w:trPr>
          <w:trHeight w:val="430"/>
        </w:trPr>
        <w:tc>
          <w:tcPr>
            <w:tcW w:w="1413" w:type="dxa"/>
            <w:vAlign w:val="center"/>
          </w:tcPr>
          <w:p w14:paraId="52728A04" w14:textId="6694EFAD" w:rsidR="00DE2D8A" w:rsidRPr="003B21BA" w:rsidRDefault="00DE2D8A" w:rsidP="009F6EE7">
            <w:pPr>
              <w:rPr>
                <w:rFonts w:ascii="Arial" w:hAnsi="Arial" w:cs="Arial"/>
                <w:sz w:val="16"/>
                <w:szCs w:val="16"/>
              </w:rPr>
            </w:pPr>
            <w:r w:rsidRPr="003B21BA">
              <w:rPr>
                <w:rFonts w:ascii="Arial" w:hAnsi="Arial" w:cs="Arial"/>
                <w:b/>
                <w:bCs/>
                <w:sz w:val="16"/>
                <w:szCs w:val="16"/>
              </w:rPr>
              <w:t>Unidad de Medida</w:t>
            </w:r>
          </w:p>
        </w:tc>
        <w:tc>
          <w:tcPr>
            <w:tcW w:w="566" w:type="dxa"/>
            <w:shd w:val="clear" w:color="auto" w:fill="auto"/>
            <w:vAlign w:val="center"/>
          </w:tcPr>
          <w:p w14:paraId="2FDA500C" w14:textId="3DD3C44C" w:rsidR="00DE2D8A" w:rsidRPr="003B21BA" w:rsidRDefault="003B21BA" w:rsidP="00FA37E3">
            <w:pPr>
              <w:jc w:val="center"/>
              <w:rPr>
                <w:rFonts w:ascii="Arial" w:hAnsi="Arial" w:cs="Arial"/>
                <w:sz w:val="16"/>
                <w:szCs w:val="16"/>
              </w:rPr>
            </w:pPr>
            <w:r w:rsidRPr="003B21BA">
              <w:rPr>
                <w:rFonts w:ascii="Arial" w:hAnsi="Arial" w:cs="Arial"/>
                <w:sz w:val="16"/>
                <w:szCs w:val="16"/>
              </w:rPr>
              <w:t>299</w:t>
            </w:r>
          </w:p>
        </w:tc>
        <w:tc>
          <w:tcPr>
            <w:tcW w:w="7514" w:type="dxa"/>
            <w:shd w:val="clear" w:color="auto" w:fill="auto"/>
            <w:vAlign w:val="center"/>
          </w:tcPr>
          <w:p w14:paraId="653DB9DE" w14:textId="1B6747F1" w:rsidR="00DE2D8A" w:rsidRPr="003B21BA" w:rsidRDefault="003B21BA" w:rsidP="009D00E4">
            <w:pPr>
              <w:rPr>
                <w:rFonts w:ascii="Arial" w:hAnsi="Arial" w:cs="Arial"/>
                <w:sz w:val="16"/>
                <w:szCs w:val="16"/>
              </w:rPr>
            </w:pPr>
            <w:r w:rsidRPr="003B21BA">
              <w:rPr>
                <w:rFonts w:ascii="Arial" w:hAnsi="Arial" w:cs="Arial"/>
                <w:sz w:val="16"/>
                <w:szCs w:val="16"/>
              </w:rPr>
              <w:t>Centro de Extensión Cultural, Proyección Social y Educación Continua</w:t>
            </w:r>
          </w:p>
        </w:tc>
      </w:tr>
      <w:tr w:rsidR="003B21BA" w:rsidRPr="003B21BA" w14:paraId="35F1A4CD" w14:textId="77777777" w:rsidTr="00501759">
        <w:trPr>
          <w:trHeight w:val="430"/>
        </w:trPr>
        <w:tc>
          <w:tcPr>
            <w:tcW w:w="1413" w:type="dxa"/>
            <w:vAlign w:val="center"/>
          </w:tcPr>
          <w:p w14:paraId="3A2665BE" w14:textId="551D1317" w:rsidR="00C73B6D" w:rsidRPr="003B21BA" w:rsidRDefault="00C73B6D" w:rsidP="009F6EE7">
            <w:pPr>
              <w:rPr>
                <w:rFonts w:ascii="Arial" w:hAnsi="Arial" w:cs="Arial"/>
                <w:b/>
                <w:bCs/>
                <w:sz w:val="16"/>
                <w:szCs w:val="16"/>
              </w:rPr>
            </w:pPr>
            <w:r w:rsidRPr="003B21BA">
              <w:rPr>
                <w:rFonts w:ascii="Arial" w:hAnsi="Arial" w:cs="Arial"/>
                <w:b/>
                <w:bCs/>
                <w:sz w:val="16"/>
                <w:szCs w:val="16"/>
              </w:rPr>
              <w:t>Nivel de desagregación</w:t>
            </w:r>
          </w:p>
        </w:tc>
        <w:tc>
          <w:tcPr>
            <w:tcW w:w="8080" w:type="dxa"/>
            <w:gridSpan w:val="2"/>
            <w:shd w:val="clear" w:color="auto" w:fill="auto"/>
            <w:vAlign w:val="center"/>
          </w:tcPr>
          <w:p w14:paraId="76D3C9CD" w14:textId="45D808E8" w:rsidR="00C73B6D" w:rsidRPr="003B21BA" w:rsidRDefault="00C422C0">
            <w:pPr>
              <w:rPr>
                <w:rFonts w:ascii="Arial" w:hAnsi="Arial" w:cs="Arial"/>
                <w:sz w:val="16"/>
                <w:szCs w:val="16"/>
              </w:rPr>
            </w:pPr>
            <w:r w:rsidRPr="003B21BA">
              <w:rPr>
                <w:rFonts w:ascii="Arial" w:hAnsi="Arial" w:cs="Arial"/>
                <w:sz w:val="16"/>
                <w:szCs w:val="16"/>
              </w:rPr>
              <w:t>Nacional</w:t>
            </w:r>
          </w:p>
        </w:tc>
      </w:tr>
    </w:tbl>
    <w:p w14:paraId="49FC6AB5" w14:textId="15D377CD" w:rsidR="00EF7C8F" w:rsidRPr="00DB180C" w:rsidRDefault="00EF7C8F">
      <w:pPr>
        <w:rPr>
          <w:rFonts w:ascii="Arial" w:hAnsi="Arial" w:cs="Arial"/>
          <w:color w:val="FF0000"/>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3B21BA" w:rsidRPr="003B21BA"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3B21BA" w:rsidRDefault="00E01366" w:rsidP="00E01366">
            <w:pPr>
              <w:rPr>
                <w:rFonts w:ascii="Arial" w:hAnsi="Arial" w:cs="Arial"/>
                <w:b/>
                <w:bCs/>
              </w:rPr>
            </w:pPr>
            <w:r w:rsidRPr="003B21BA">
              <w:rPr>
                <w:rFonts w:ascii="Arial" w:hAnsi="Arial" w:cs="Arial"/>
                <w:b/>
                <w:bCs/>
              </w:rPr>
              <w:t>Servicio y Tipología</w:t>
            </w:r>
          </w:p>
        </w:tc>
      </w:tr>
      <w:tr w:rsidR="003B21BA" w:rsidRPr="003B21BA"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3B21BA" w:rsidRDefault="00E01366" w:rsidP="00D760A0">
            <w:pPr>
              <w:jc w:val="center"/>
              <w:rPr>
                <w:rFonts w:ascii="Arial" w:hAnsi="Arial" w:cs="Arial"/>
                <w:b/>
                <w:bCs/>
                <w:sz w:val="16"/>
                <w:szCs w:val="16"/>
              </w:rPr>
            </w:pPr>
            <w:r w:rsidRPr="003B21BA">
              <w:rPr>
                <w:rFonts w:ascii="Arial" w:hAnsi="Arial" w:cs="Arial"/>
                <w:b/>
                <w:bCs/>
                <w:sz w:val="16"/>
                <w:szCs w:val="16"/>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3B21BA" w:rsidRDefault="00E01366" w:rsidP="00D760A0">
            <w:pPr>
              <w:jc w:val="center"/>
              <w:rPr>
                <w:rFonts w:ascii="Arial" w:hAnsi="Arial" w:cs="Arial"/>
                <w:b/>
                <w:bCs/>
                <w:sz w:val="16"/>
                <w:szCs w:val="16"/>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3B21BA" w:rsidRDefault="00E01366" w:rsidP="00D760A0">
            <w:pPr>
              <w:jc w:val="center"/>
              <w:rPr>
                <w:rFonts w:ascii="Arial" w:hAnsi="Arial" w:cs="Arial"/>
                <w:b/>
                <w:bCs/>
                <w:sz w:val="16"/>
                <w:szCs w:val="16"/>
              </w:rPr>
            </w:pPr>
            <w:r w:rsidRPr="003B21BA">
              <w:rPr>
                <w:rFonts w:ascii="Arial" w:hAnsi="Arial" w:cs="Arial"/>
                <w:b/>
                <w:bCs/>
                <w:sz w:val="16"/>
                <w:szCs w:val="16"/>
              </w:rPr>
              <w:t>Tipología</w:t>
            </w:r>
          </w:p>
        </w:tc>
      </w:tr>
      <w:tr w:rsidR="00CE02AD" w:rsidRPr="00CE02AD"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12D4DE0C" w:rsidR="00E01366" w:rsidRPr="00CE02AD" w:rsidRDefault="00CE02AD" w:rsidP="00D760A0">
            <w:pPr>
              <w:rPr>
                <w:rFonts w:ascii="Arial" w:hAnsi="Arial" w:cs="Arial"/>
                <w:sz w:val="16"/>
                <w:szCs w:val="16"/>
              </w:rPr>
            </w:pPr>
            <w:r>
              <w:rPr>
                <w:rFonts w:ascii="Arial" w:hAnsi="Arial" w:cs="Arial"/>
                <w:sz w:val="16"/>
                <w:szCs w:val="16"/>
              </w:rPr>
              <w:t>318</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0903F4AA" w:rsidR="00E01366" w:rsidRPr="00CE02AD" w:rsidRDefault="00442BBE" w:rsidP="0045134B">
            <w:pPr>
              <w:rPr>
                <w:rFonts w:ascii="Arial" w:hAnsi="Arial" w:cs="Arial"/>
                <w:sz w:val="16"/>
                <w:szCs w:val="16"/>
              </w:rPr>
            </w:pPr>
            <w:r w:rsidRPr="00CE02AD">
              <w:rPr>
                <w:rFonts w:ascii="Arial" w:hAnsi="Arial" w:cs="Arial"/>
                <w:sz w:val="16"/>
                <w:szCs w:val="16"/>
              </w:rPr>
              <w:t xml:space="preserve">Servicio de </w:t>
            </w:r>
            <w:r w:rsidR="003B21BA" w:rsidRPr="00CE02AD">
              <w:rPr>
                <w:rFonts w:ascii="Arial" w:hAnsi="Arial" w:cs="Arial"/>
                <w:sz w:val="16"/>
                <w:szCs w:val="16"/>
              </w:rPr>
              <w:t>Extensión Cultural, Proyección Social y Educación Continua en Educación Superior Universitaria</w:t>
            </w:r>
          </w:p>
        </w:tc>
        <w:tc>
          <w:tcPr>
            <w:tcW w:w="234" w:type="dxa"/>
            <w:vMerge/>
            <w:tcBorders>
              <w:left w:val="single" w:sz="4" w:space="0" w:color="auto"/>
              <w:right w:val="single" w:sz="4" w:space="0" w:color="auto"/>
            </w:tcBorders>
            <w:shd w:val="clear" w:color="auto" w:fill="auto"/>
            <w:vAlign w:val="center"/>
          </w:tcPr>
          <w:p w14:paraId="00AD727F" w14:textId="77777777" w:rsidR="00E01366" w:rsidRPr="00CE02AD"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7B8779B7" w:rsidR="00E01366" w:rsidRPr="00CE02AD" w:rsidRDefault="003B21BA" w:rsidP="00D760A0">
            <w:pPr>
              <w:rPr>
                <w:rFonts w:ascii="Arial" w:hAnsi="Arial" w:cs="Arial"/>
                <w:sz w:val="16"/>
                <w:szCs w:val="16"/>
              </w:rPr>
            </w:pPr>
            <w:r w:rsidRPr="00CE02AD">
              <w:rPr>
                <w:rFonts w:ascii="Arial" w:hAnsi="Arial" w:cs="Arial"/>
                <w:sz w:val="16"/>
                <w:szCs w:val="16"/>
              </w:rPr>
              <w:t>412</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1488095A" w:rsidR="00E01366" w:rsidRPr="00CE02AD" w:rsidRDefault="003B21BA" w:rsidP="00C422C0">
            <w:pPr>
              <w:rPr>
                <w:rFonts w:ascii="Arial" w:hAnsi="Arial" w:cs="Arial"/>
                <w:sz w:val="16"/>
                <w:szCs w:val="16"/>
              </w:rPr>
            </w:pPr>
            <w:r w:rsidRPr="00CE02AD">
              <w:rPr>
                <w:rFonts w:ascii="Arial" w:hAnsi="Arial" w:cs="Arial"/>
                <w:sz w:val="16"/>
                <w:szCs w:val="16"/>
              </w:rPr>
              <w:t>Extensión Cultural, Proyección Social y Educación Continua</w:t>
            </w:r>
          </w:p>
        </w:tc>
      </w:tr>
      <w:tr w:rsidR="00CE02AD" w:rsidRPr="00CE02AD"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77777777" w:rsidR="00E01366" w:rsidRPr="00CE02AD"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CE02AD"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CE02AD"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CE02AD" w:rsidRDefault="00E01366" w:rsidP="00D760A0">
            <w:pPr>
              <w:rPr>
                <w:rFonts w:ascii="Arial" w:hAnsi="Arial" w:cs="Arial"/>
                <w:sz w:val="16"/>
                <w:szCs w:val="16"/>
              </w:rPr>
            </w:pPr>
          </w:p>
        </w:tc>
        <w:tc>
          <w:tcPr>
            <w:tcW w:w="3157" w:type="dxa"/>
            <w:tcBorders>
              <w:top w:val="single" w:sz="4" w:space="0" w:color="auto"/>
              <w:bottom w:val="single" w:sz="4" w:space="0" w:color="auto"/>
            </w:tcBorders>
            <w:shd w:val="clear" w:color="auto" w:fill="auto"/>
            <w:vAlign w:val="center"/>
          </w:tcPr>
          <w:p w14:paraId="5A66EE65" w14:textId="77777777" w:rsidR="00E01366" w:rsidRPr="00CE02AD" w:rsidRDefault="00E01366" w:rsidP="00D760A0">
            <w:pPr>
              <w:rPr>
                <w:rFonts w:ascii="Arial" w:hAnsi="Arial" w:cs="Arial"/>
                <w:sz w:val="16"/>
                <w:szCs w:val="16"/>
              </w:rPr>
            </w:pPr>
          </w:p>
        </w:tc>
      </w:tr>
      <w:tr w:rsidR="00CE02AD" w:rsidRPr="00CE02AD"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CE02AD"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CE02AD"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CE02AD"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CE02AD" w:rsidRDefault="00E01366" w:rsidP="00D760A0">
            <w:pPr>
              <w:rPr>
                <w:rFonts w:ascii="Arial" w:hAnsi="Arial" w:cs="Arial"/>
                <w:sz w:val="16"/>
                <w:szCs w:val="16"/>
              </w:rPr>
            </w:pPr>
            <w:r w:rsidRPr="00CE02AD">
              <w:rPr>
                <w:rFonts w:ascii="Arial" w:hAnsi="Arial" w:cs="Arial"/>
                <w:sz w:val="16"/>
                <w:szCs w:val="16"/>
              </w:rPr>
              <w:t>ID</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CE02AD" w:rsidRDefault="00E01366" w:rsidP="00D760A0">
            <w:pPr>
              <w:rPr>
                <w:rFonts w:ascii="Arial" w:hAnsi="Arial" w:cs="Arial"/>
                <w:sz w:val="16"/>
                <w:szCs w:val="16"/>
              </w:rPr>
            </w:pPr>
          </w:p>
        </w:tc>
      </w:tr>
    </w:tbl>
    <w:p w14:paraId="648C5075" w14:textId="0786E3B6" w:rsidR="00E01366" w:rsidRPr="00CE02AD" w:rsidRDefault="00E01366">
      <w:pPr>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CE02AD" w:rsidRPr="00CE02AD"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CE02AD" w:rsidRDefault="00E01366" w:rsidP="00D760A0">
            <w:pPr>
              <w:rPr>
                <w:rFonts w:ascii="Arial" w:hAnsi="Arial" w:cs="Arial"/>
                <w:b/>
                <w:bCs/>
                <w:szCs w:val="20"/>
              </w:rPr>
            </w:pPr>
            <w:r w:rsidRPr="00CE02AD">
              <w:rPr>
                <w:rFonts w:ascii="Arial" w:hAnsi="Arial" w:cs="Arial"/>
                <w:b/>
                <w:bCs/>
                <w:szCs w:val="20"/>
              </w:rPr>
              <w:t>Competencia del Servicio</w:t>
            </w:r>
          </w:p>
        </w:tc>
      </w:tr>
      <w:tr w:rsidR="00CE02AD" w:rsidRPr="00CE02AD"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CE02AD" w:rsidRDefault="00E01366" w:rsidP="00D760A0">
            <w:pPr>
              <w:jc w:val="center"/>
              <w:rPr>
                <w:rFonts w:ascii="Arial" w:hAnsi="Arial" w:cs="Arial"/>
                <w:b/>
                <w:bCs/>
                <w:sz w:val="16"/>
                <w:szCs w:val="18"/>
              </w:rPr>
            </w:pPr>
            <w:r w:rsidRPr="00CE02AD">
              <w:rPr>
                <w:rFonts w:ascii="Arial" w:hAnsi="Arial" w:cs="Arial"/>
                <w:b/>
                <w:bCs/>
                <w:sz w:val="16"/>
                <w:szCs w:val="18"/>
              </w:rPr>
              <w:t>Gobierno Nacional</w:t>
            </w:r>
          </w:p>
        </w:tc>
        <w:tc>
          <w:tcPr>
            <w:tcW w:w="1981" w:type="dxa"/>
            <w:gridSpan w:val="3"/>
            <w:tcBorders>
              <w:top w:val="single" w:sz="4" w:space="0" w:color="auto"/>
            </w:tcBorders>
            <w:vAlign w:val="center"/>
          </w:tcPr>
          <w:p w14:paraId="1FEC6171" w14:textId="77777777" w:rsidR="00E01366" w:rsidRPr="00CE02AD" w:rsidRDefault="00E01366" w:rsidP="00D760A0">
            <w:pPr>
              <w:jc w:val="center"/>
              <w:rPr>
                <w:rFonts w:ascii="Arial" w:hAnsi="Arial" w:cs="Arial"/>
                <w:b/>
                <w:bCs/>
                <w:sz w:val="16"/>
                <w:szCs w:val="18"/>
              </w:rPr>
            </w:pPr>
            <w:r w:rsidRPr="00CE02AD">
              <w:rPr>
                <w:rFonts w:ascii="Arial" w:hAnsi="Arial" w:cs="Arial"/>
                <w:b/>
                <w:bCs/>
                <w:sz w:val="16"/>
                <w:szCs w:val="18"/>
              </w:rPr>
              <w:t>Gobierno Regional</w:t>
            </w:r>
          </w:p>
        </w:tc>
        <w:tc>
          <w:tcPr>
            <w:tcW w:w="1806" w:type="dxa"/>
            <w:gridSpan w:val="3"/>
            <w:tcBorders>
              <w:top w:val="single" w:sz="4" w:space="0" w:color="auto"/>
            </w:tcBorders>
            <w:vAlign w:val="center"/>
          </w:tcPr>
          <w:p w14:paraId="4A62EA9E" w14:textId="77777777" w:rsidR="00E01366" w:rsidRPr="00CE02AD" w:rsidRDefault="00E01366" w:rsidP="00D760A0">
            <w:pPr>
              <w:jc w:val="center"/>
              <w:rPr>
                <w:rFonts w:ascii="Arial" w:hAnsi="Arial" w:cs="Arial"/>
                <w:b/>
                <w:bCs/>
                <w:sz w:val="16"/>
                <w:szCs w:val="18"/>
              </w:rPr>
            </w:pPr>
            <w:r w:rsidRPr="00CE02AD">
              <w:rPr>
                <w:rFonts w:ascii="Arial" w:hAnsi="Arial" w:cs="Arial"/>
                <w:b/>
                <w:bCs/>
                <w:sz w:val="16"/>
                <w:szCs w:val="18"/>
              </w:rPr>
              <w:t>Gobierno Local</w:t>
            </w:r>
          </w:p>
          <w:p w14:paraId="4FCF7C93" w14:textId="77777777" w:rsidR="00E01366" w:rsidRPr="00CE02AD" w:rsidRDefault="00E01366" w:rsidP="00D760A0">
            <w:pPr>
              <w:jc w:val="center"/>
              <w:rPr>
                <w:rFonts w:ascii="Arial" w:hAnsi="Arial" w:cs="Arial"/>
                <w:b/>
                <w:bCs/>
                <w:sz w:val="16"/>
                <w:szCs w:val="18"/>
              </w:rPr>
            </w:pPr>
            <w:proofErr w:type="spellStart"/>
            <w:r w:rsidRPr="00CE02AD">
              <w:rPr>
                <w:rFonts w:ascii="Arial" w:hAnsi="Arial" w:cs="Arial"/>
                <w:b/>
                <w:bCs/>
                <w:sz w:val="16"/>
                <w:szCs w:val="18"/>
              </w:rPr>
              <w:t>Municip</w:t>
            </w:r>
            <w:proofErr w:type="spellEnd"/>
            <w:r w:rsidRPr="00CE02AD">
              <w:rPr>
                <w:rFonts w:ascii="Arial" w:hAnsi="Arial" w:cs="Arial"/>
                <w:b/>
                <w:bCs/>
                <w:sz w:val="16"/>
                <w:szCs w:val="18"/>
              </w:rPr>
              <w:t>. Provincial</w:t>
            </w:r>
          </w:p>
        </w:tc>
        <w:tc>
          <w:tcPr>
            <w:tcW w:w="1780" w:type="dxa"/>
            <w:gridSpan w:val="3"/>
            <w:tcBorders>
              <w:top w:val="single" w:sz="4" w:space="0" w:color="auto"/>
            </w:tcBorders>
            <w:vAlign w:val="center"/>
          </w:tcPr>
          <w:p w14:paraId="65EAF0B0" w14:textId="77777777" w:rsidR="00E01366" w:rsidRPr="00CE02AD" w:rsidRDefault="00E01366" w:rsidP="00D760A0">
            <w:pPr>
              <w:jc w:val="center"/>
              <w:rPr>
                <w:rFonts w:ascii="Arial" w:hAnsi="Arial" w:cs="Arial"/>
                <w:b/>
                <w:bCs/>
                <w:sz w:val="16"/>
                <w:szCs w:val="18"/>
              </w:rPr>
            </w:pPr>
            <w:r w:rsidRPr="00CE02AD">
              <w:rPr>
                <w:rFonts w:ascii="Arial" w:hAnsi="Arial" w:cs="Arial"/>
                <w:b/>
                <w:bCs/>
                <w:sz w:val="16"/>
                <w:szCs w:val="18"/>
              </w:rPr>
              <w:t>Gobierno Local</w:t>
            </w:r>
          </w:p>
          <w:p w14:paraId="01206F40" w14:textId="77777777" w:rsidR="00E01366" w:rsidRPr="00CE02AD" w:rsidRDefault="00E01366" w:rsidP="00D760A0">
            <w:pPr>
              <w:jc w:val="center"/>
              <w:rPr>
                <w:rFonts w:ascii="Arial" w:hAnsi="Arial" w:cs="Arial"/>
                <w:b/>
                <w:bCs/>
                <w:sz w:val="16"/>
                <w:szCs w:val="18"/>
              </w:rPr>
            </w:pPr>
            <w:proofErr w:type="spellStart"/>
            <w:r w:rsidRPr="00CE02AD">
              <w:rPr>
                <w:rFonts w:ascii="Arial" w:hAnsi="Arial" w:cs="Arial"/>
                <w:b/>
                <w:bCs/>
                <w:sz w:val="16"/>
                <w:szCs w:val="18"/>
              </w:rPr>
              <w:t>Municip</w:t>
            </w:r>
            <w:proofErr w:type="spellEnd"/>
            <w:r w:rsidRPr="00CE02AD">
              <w:rPr>
                <w:rFonts w:ascii="Arial" w:hAnsi="Arial" w:cs="Arial"/>
                <w:b/>
                <w:bCs/>
                <w:sz w:val="16"/>
                <w:szCs w:val="18"/>
              </w:rPr>
              <w:t>. Distrital</w:t>
            </w:r>
          </w:p>
        </w:tc>
        <w:tc>
          <w:tcPr>
            <w:tcW w:w="1951" w:type="dxa"/>
            <w:gridSpan w:val="3"/>
            <w:tcBorders>
              <w:top w:val="single" w:sz="4" w:space="0" w:color="auto"/>
              <w:right w:val="single" w:sz="4" w:space="0" w:color="auto"/>
            </w:tcBorders>
            <w:vAlign w:val="center"/>
          </w:tcPr>
          <w:p w14:paraId="54589F86" w14:textId="77777777" w:rsidR="00E01366" w:rsidRPr="00CE02AD" w:rsidRDefault="00E01366" w:rsidP="00D760A0">
            <w:pPr>
              <w:jc w:val="center"/>
              <w:rPr>
                <w:rFonts w:ascii="Arial" w:hAnsi="Arial" w:cs="Arial"/>
                <w:b/>
                <w:bCs/>
                <w:sz w:val="16"/>
                <w:szCs w:val="18"/>
              </w:rPr>
            </w:pPr>
            <w:r w:rsidRPr="00CE02AD">
              <w:rPr>
                <w:rFonts w:ascii="Arial" w:hAnsi="Arial" w:cs="Arial"/>
                <w:b/>
                <w:bCs/>
                <w:sz w:val="16"/>
                <w:szCs w:val="18"/>
              </w:rPr>
              <w:t>Empresa</w:t>
            </w:r>
          </w:p>
        </w:tc>
      </w:tr>
      <w:tr w:rsidR="00CE02AD" w:rsidRPr="00CE02AD" w14:paraId="07F29AB9" w14:textId="77777777" w:rsidTr="00501759">
        <w:trPr>
          <w:trHeight w:val="84"/>
        </w:trPr>
        <w:tc>
          <w:tcPr>
            <w:tcW w:w="750" w:type="dxa"/>
            <w:tcBorders>
              <w:left w:val="single" w:sz="4" w:space="0" w:color="auto"/>
            </w:tcBorders>
            <w:vAlign w:val="center"/>
          </w:tcPr>
          <w:p w14:paraId="223AAEC1" w14:textId="77777777" w:rsidR="00E01366" w:rsidRPr="00CE02AD" w:rsidRDefault="00E01366" w:rsidP="00D760A0">
            <w:pPr>
              <w:rPr>
                <w:rFonts w:ascii="Arial" w:hAnsi="Arial" w:cs="Arial"/>
                <w:sz w:val="16"/>
                <w:szCs w:val="16"/>
              </w:rPr>
            </w:pPr>
          </w:p>
        </w:tc>
        <w:tc>
          <w:tcPr>
            <w:tcW w:w="580" w:type="dxa"/>
            <w:tcBorders>
              <w:bottom w:val="single" w:sz="4" w:space="0" w:color="auto"/>
            </w:tcBorders>
            <w:vAlign w:val="center"/>
          </w:tcPr>
          <w:p w14:paraId="404EF150" w14:textId="77777777" w:rsidR="00E01366" w:rsidRPr="00CE02AD" w:rsidRDefault="00E01366" w:rsidP="00D760A0">
            <w:pPr>
              <w:rPr>
                <w:rFonts w:ascii="Arial" w:hAnsi="Arial" w:cs="Arial"/>
                <w:sz w:val="16"/>
                <w:szCs w:val="16"/>
              </w:rPr>
            </w:pPr>
          </w:p>
        </w:tc>
        <w:tc>
          <w:tcPr>
            <w:tcW w:w="650" w:type="dxa"/>
            <w:vAlign w:val="center"/>
          </w:tcPr>
          <w:p w14:paraId="2F8C63AE" w14:textId="77777777" w:rsidR="00E01366" w:rsidRPr="00CE02AD" w:rsidRDefault="00E01366" w:rsidP="00D760A0">
            <w:pPr>
              <w:rPr>
                <w:rFonts w:ascii="Arial" w:hAnsi="Arial" w:cs="Arial"/>
                <w:sz w:val="16"/>
                <w:szCs w:val="18"/>
              </w:rPr>
            </w:pPr>
          </w:p>
        </w:tc>
        <w:tc>
          <w:tcPr>
            <w:tcW w:w="681" w:type="dxa"/>
            <w:vAlign w:val="center"/>
          </w:tcPr>
          <w:p w14:paraId="37D8C6FB" w14:textId="77777777" w:rsidR="00E01366" w:rsidRPr="00CE02AD" w:rsidRDefault="00E01366" w:rsidP="00D760A0">
            <w:pPr>
              <w:rPr>
                <w:rFonts w:ascii="Arial" w:hAnsi="Arial" w:cs="Arial"/>
                <w:sz w:val="16"/>
                <w:szCs w:val="18"/>
              </w:rPr>
            </w:pPr>
          </w:p>
        </w:tc>
        <w:tc>
          <w:tcPr>
            <w:tcW w:w="591" w:type="dxa"/>
            <w:tcBorders>
              <w:bottom w:val="single" w:sz="4" w:space="0" w:color="auto"/>
            </w:tcBorders>
            <w:vAlign w:val="center"/>
          </w:tcPr>
          <w:p w14:paraId="12564A93" w14:textId="77777777" w:rsidR="00E01366" w:rsidRPr="00CE02AD" w:rsidRDefault="00E01366" w:rsidP="00D760A0">
            <w:pPr>
              <w:rPr>
                <w:rFonts w:ascii="Arial" w:hAnsi="Arial" w:cs="Arial"/>
                <w:sz w:val="16"/>
                <w:szCs w:val="18"/>
              </w:rPr>
            </w:pPr>
          </w:p>
        </w:tc>
        <w:tc>
          <w:tcPr>
            <w:tcW w:w="709" w:type="dxa"/>
            <w:vAlign w:val="center"/>
          </w:tcPr>
          <w:p w14:paraId="1377B682" w14:textId="77777777" w:rsidR="00E01366" w:rsidRPr="00CE02AD" w:rsidRDefault="00E01366" w:rsidP="00D760A0">
            <w:pPr>
              <w:rPr>
                <w:rFonts w:ascii="Arial" w:hAnsi="Arial" w:cs="Arial"/>
                <w:sz w:val="16"/>
                <w:szCs w:val="18"/>
              </w:rPr>
            </w:pPr>
          </w:p>
        </w:tc>
        <w:tc>
          <w:tcPr>
            <w:tcW w:w="624" w:type="dxa"/>
            <w:vAlign w:val="center"/>
          </w:tcPr>
          <w:p w14:paraId="72A1492E" w14:textId="77777777" w:rsidR="00E01366" w:rsidRPr="00CE02AD" w:rsidRDefault="00E01366" w:rsidP="00D760A0">
            <w:pPr>
              <w:rPr>
                <w:rFonts w:ascii="Arial" w:hAnsi="Arial" w:cs="Arial"/>
                <w:sz w:val="16"/>
                <w:szCs w:val="18"/>
              </w:rPr>
            </w:pPr>
          </w:p>
        </w:tc>
        <w:tc>
          <w:tcPr>
            <w:tcW w:w="579" w:type="dxa"/>
            <w:tcBorders>
              <w:bottom w:val="single" w:sz="4" w:space="0" w:color="auto"/>
            </w:tcBorders>
            <w:vAlign w:val="center"/>
          </w:tcPr>
          <w:p w14:paraId="30814D24" w14:textId="77777777" w:rsidR="00E01366" w:rsidRPr="00CE02AD" w:rsidRDefault="00E01366" w:rsidP="00D760A0">
            <w:pPr>
              <w:rPr>
                <w:rFonts w:ascii="Arial" w:hAnsi="Arial" w:cs="Arial"/>
                <w:sz w:val="16"/>
                <w:szCs w:val="18"/>
              </w:rPr>
            </w:pPr>
          </w:p>
        </w:tc>
        <w:tc>
          <w:tcPr>
            <w:tcW w:w="603" w:type="dxa"/>
            <w:vAlign w:val="center"/>
          </w:tcPr>
          <w:p w14:paraId="6B79396A" w14:textId="77777777" w:rsidR="00E01366" w:rsidRPr="00CE02AD" w:rsidRDefault="00E01366" w:rsidP="00D760A0">
            <w:pPr>
              <w:rPr>
                <w:rFonts w:ascii="Arial" w:hAnsi="Arial" w:cs="Arial"/>
                <w:sz w:val="16"/>
                <w:szCs w:val="18"/>
              </w:rPr>
            </w:pPr>
          </w:p>
        </w:tc>
        <w:tc>
          <w:tcPr>
            <w:tcW w:w="595" w:type="dxa"/>
            <w:vAlign w:val="center"/>
          </w:tcPr>
          <w:p w14:paraId="249C8175" w14:textId="77777777" w:rsidR="00E01366" w:rsidRPr="00CE02AD" w:rsidRDefault="00E01366" w:rsidP="00D760A0">
            <w:pPr>
              <w:rPr>
                <w:rFonts w:ascii="Arial" w:hAnsi="Arial" w:cs="Arial"/>
                <w:sz w:val="16"/>
                <w:szCs w:val="18"/>
              </w:rPr>
            </w:pPr>
          </w:p>
        </w:tc>
        <w:tc>
          <w:tcPr>
            <w:tcW w:w="592" w:type="dxa"/>
            <w:tcBorders>
              <w:bottom w:val="single" w:sz="4" w:space="0" w:color="auto"/>
            </w:tcBorders>
            <w:vAlign w:val="center"/>
          </w:tcPr>
          <w:p w14:paraId="231F395A" w14:textId="77777777" w:rsidR="00E01366" w:rsidRPr="00CE02AD" w:rsidRDefault="00E01366" w:rsidP="00D760A0">
            <w:pPr>
              <w:rPr>
                <w:rFonts w:ascii="Arial" w:hAnsi="Arial" w:cs="Arial"/>
                <w:sz w:val="16"/>
                <w:szCs w:val="18"/>
              </w:rPr>
            </w:pPr>
          </w:p>
        </w:tc>
        <w:tc>
          <w:tcPr>
            <w:tcW w:w="593" w:type="dxa"/>
            <w:vAlign w:val="center"/>
          </w:tcPr>
          <w:p w14:paraId="7FE7EEFC" w14:textId="77777777" w:rsidR="00E01366" w:rsidRPr="00CE02AD" w:rsidRDefault="00E01366" w:rsidP="00D760A0">
            <w:pPr>
              <w:rPr>
                <w:rFonts w:ascii="Arial" w:hAnsi="Arial" w:cs="Arial"/>
                <w:sz w:val="16"/>
                <w:szCs w:val="18"/>
              </w:rPr>
            </w:pPr>
          </w:p>
        </w:tc>
        <w:tc>
          <w:tcPr>
            <w:tcW w:w="592" w:type="dxa"/>
            <w:vAlign w:val="center"/>
          </w:tcPr>
          <w:p w14:paraId="7FC829B6" w14:textId="77777777" w:rsidR="00E01366" w:rsidRPr="00CE02AD" w:rsidRDefault="00E01366" w:rsidP="00D760A0">
            <w:pPr>
              <w:rPr>
                <w:rFonts w:ascii="Arial" w:hAnsi="Arial" w:cs="Arial"/>
                <w:sz w:val="16"/>
                <w:szCs w:val="18"/>
              </w:rPr>
            </w:pPr>
          </w:p>
        </w:tc>
        <w:tc>
          <w:tcPr>
            <w:tcW w:w="592" w:type="dxa"/>
            <w:tcBorders>
              <w:bottom w:val="single" w:sz="4" w:space="0" w:color="auto"/>
            </w:tcBorders>
            <w:vAlign w:val="center"/>
          </w:tcPr>
          <w:p w14:paraId="3CF5282C" w14:textId="77777777" w:rsidR="00E01366" w:rsidRPr="00CE02AD" w:rsidRDefault="00E01366" w:rsidP="00D760A0">
            <w:pPr>
              <w:rPr>
                <w:rFonts w:ascii="Arial" w:hAnsi="Arial" w:cs="Arial"/>
                <w:sz w:val="16"/>
                <w:szCs w:val="18"/>
              </w:rPr>
            </w:pPr>
          </w:p>
        </w:tc>
        <w:tc>
          <w:tcPr>
            <w:tcW w:w="767" w:type="dxa"/>
            <w:tcBorders>
              <w:right w:val="single" w:sz="4" w:space="0" w:color="auto"/>
            </w:tcBorders>
            <w:vAlign w:val="center"/>
          </w:tcPr>
          <w:p w14:paraId="2412FFF8" w14:textId="77777777" w:rsidR="00E01366" w:rsidRPr="00CE02AD" w:rsidRDefault="00E01366" w:rsidP="00D760A0">
            <w:pPr>
              <w:rPr>
                <w:rFonts w:ascii="Arial" w:hAnsi="Arial" w:cs="Arial"/>
                <w:sz w:val="16"/>
                <w:szCs w:val="18"/>
              </w:rPr>
            </w:pPr>
          </w:p>
        </w:tc>
      </w:tr>
      <w:tr w:rsidR="00CE02AD" w:rsidRPr="00CE02AD"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CE02AD" w:rsidRDefault="00E01366" w:rsidP="00D760A0">
            <w:pPr>
              <w:rPr>
                <w:rFonts w:ascii="Arial" w:hAnsi="Arial" w:cs="Arial"/>
                <w:sz w:val="18"/>
                <w:szCs w:val="16"/>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09EBA5FD" w:rsidR="00E01366" w:rsidRPr="00CE02AD" w:rsidRDefault="00871BC1" w:rsidP="00D760A0">
            <w:pPr>
              <w:jc w:val="center"/>
              <w:rPr>
                <w:rFonts w:ascii="Arial" w:hAnsi="Arial" w:cs="Arial"/>
                <w:sz w:val="18"/>
                <w:szCs w:val="16"/>
              </w:rPr>
            </w:pPr>
            <w:r w:rsidRPr="00CE02AD">
              <w:rPr>
                <w:rFonts w:ascii="Arial" w:hAnsi="Arial" w:cs="Arial"/>
                <w:sz w:val="18"/>
                <w:szCs w:val="16"/>
              </w:rPr>
              <w:t>SI</w:t>
            </w:r>
          </w:p>
        </w:tc>
        <w:tc>
          <w:tcPr>
            <w:tcW w:w="650" w:type="dxa"/>
            <w:tcBorders>
              <w:left w:val="single" w:sz="4" w:space="0" w:color="auto"/>
            </w:tcBorders>
            <w:shd w:val="clear" w:color="auto" w:fill="auto"/>
            <w:vAlign w:val="center"/>
          </w:tcPr>
          <w:p w14:paraId="41BB2538" w14:textId="77777777" w:rsidR="00E01366" w:rsidRPr="00CE02AD" w:rsidRDefault="00E01366" w:rsidP="00D760A0">
            <w:pPr>
              <w:jc w:val="center"/>
              <w:rPr>
                <w:rFonts w:ascii="Arial" w:hAnsi="Arial" w:cs="Arial"/>
                <w:sz w:val="18"/>
                <w:szCs w:val="18"/>
              </w:rPr>
            </w:pPr>
          </w:p>
        </w:tc>
        <w:tc>
          <w:tcPr>
            <w:tcW w:w="681" w:type="dxa"/>
            <w:tcBorders>
              <w:right w:val="single" w:sz="4" w:space="0" w:color="auto"/>
            </w:tcBorders>
            <w:shd w:val="clear" w:color="auto" w:fill="auto"/>
            <w:vAlign w:val="center"/>
          </w:tcPr>
          <w:p w14:paraId="438FAB23" w14:textId="77777777" w:rsidR="00E01366" w:rsidRPr="00CE02AD" w:rsidRDefault="00E01366" w:rsidP="00D760A0">
            <w:pPr>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4D728CDF" w:rsidR="00E01366" w:rsidRPr="00CE02AD" w:rsidRDefault="00C422C0" w:rsidP="00D760A0">
            <w:pPr>
              <w:jc w:val="center"/>
              <w:rPr>
                <w:rFonts w:ascii="Arial" w:hAnsi="Arial" w:cs="Arial"/>
                <w:sz w:val="18"/>
                <w:szCs w:val="18"/>
              </w:rPr>
            </w:pPr>
            <w:r w:rsidRPr="00CE02AD">
              <w:rPr>
                <w:rFonts w:ascii="Arial" w:hAnsi="Arial" w:cs="Arial"/>
                <w:sz w:val="18"/>
                <w:szCs w:val="18"/>
              </w:rPr>
              <w:t>NO</w:t>
            </w:r>
          </w:p>
        </w:tc>
        <w:tc>
          <w:tcPr>
            <w:tcW w:w="709" w:type="dxa"/>
            <w:tcBorders>
              <w:left w:val="single" w:sz="4" w:space="0" w:color="auto"/>
            </w:tcBorders>
            <w:shd w:val="clear" w:color="auto" w:fill="auto"/>
            <w:vAlign w:val="center"/>
          </w:tcPr>
          <w:p w14:paraId="523175AE" w14:textId="77777777" w:rsidR="00E01366" w:rsidRPr="00CE02AD" w:rsidRDefault="00E01366" w:rsidP="00D760A0">
            <w:pPr>
              <w:jc w:val="center"/>
              <w:rPr>
                <w:rFonts w:ascii="Arial" w:hAnsi="Arial" w:cs="Arial"/>
                <w:sz w:val="18"/>
                <w:szCs w:val="18"/>
              </w:rPr>
            </w:pPr>
          </w:p>
        </w:tc>
        <w:tc>
          <w:tcPr>
            <w:tcW w:w="624" w:type="dxa"/>
            <w:tcBorders>
              <w:right w:val="single" w:sz="4" w:space="0" w:color="auto"/>
            </w:tcBorders>
            <w:shd w:val="clear" w:color="auto" w:fill="auto"/>
            <w:vAlign w:val="center"/>
          </w:tcPr>
          <w:p w14:paraId="4E7C74A5" w14:textId="77777777" w:rsidR="00E01366" w:rsidRPr="00CE02AD" w:rsidRDefault="00E01366" w:rsidP="00D760A0">
            <w:pPr>
              <w:jc w:val="center"/>
              <w:rPr>
                <w:rFonts w:ascii="Arial" w:hAnsi="Arial" w:cs="Arial"/>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3E7B500D" w:rsidR="00E01366" w:rsidRPr="00CE02AD" w:rsidRDefault="00847FB8" w:rsidP="00D760A0">
            <w:pPr>
              <w:jc w:val="center"/>
              <w:rPr>
                <w:rFonts w:ascii="Arial" w:hAnsi="Arial" w:cs="Arial"/>
                <w:sz w:val="18"/>
                <w:szCs w:val="18"/>
              </w:rPr>
            </w:pPr>
            <w:r w:rsidRPr="00CE02AD">
              <w:rPr>
                <w:rFonts w:ascii="Arial" w:hAnsi="Arial" w:cs="Arial"/>
                <w:sz w:val="18"/>
                <w:szCs w:val="18"/>
              </w:rPr>
              <w:t>NO</w:t>
            </w:r>
          </w:p>
        </w:tc>
        <w:tc>
          <w:tcPr>
            <w:tcW w:w="603" w:type="dxa"/>
            <w:tcBorders>
              <w:left w:val="single" w:sz="4" w:space="0" w:color="auto"/>
            </w:tcBorders>
            <w:shd w:val="clear" w:color="auto" w:fill="auto"/>
            <w:vAlign w:val="center"/>
          </w:tcPr>
          <w:p w14:paraId="17ADF476" w14:textId="77777777" w:rsidR="00E01366" w:rsidRPr="00CE02AD" w:rsidRDefault="00E01366" w:rsidP="00D760A0">
            <w:pPr>
              <w:jc w:val="center"/>
              <w:rPr>
                <w:rFonts w:ascii="Arial" w:hAnsi="Arial" w:cs="Arial"/>
                <w:sz w:val="18"/>
                <w:szCs w:val="18"/>
              </w:rPr>
            </w:pPr>
          </w:p>
        </w:tc>
        <w:tc>
          <w:tcPr>
            <w:tcW w:w="595" w:type="dxa"/>
            <w:tcBorders>
              <w:right w:val="single" w:sz="4" w:space="0" w:color="auto"/>
            </w:tcBorders>
            <w:shd w:val="clear" w:color="auto" w:fill="auto"/>
            <w:vAlign w:val="center"/>
          </w:tcPr>
          <w:p w14:paraId="07881BB4" w14:textId="77777777" w:rsidR="00E01366" w:rsidRPr="00CE02AD"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6798CC6C" w:rsidR="00E01366" w:rsidRPr="00CE02AD" w:rsidRDefault="00847FB8" w:rsidP="00D760A0">
            <w:pPr>
              <w:jc w:val="center"/>
              <w:rPr>
                <w:rFonts w:ascii="Arial" w:hAnsi="Arial" w:cs="Arial"/>
                <w:sz w:val="18"/>
                <w:szCs w:val="18"/>
              </w:rPr>
            </w:pPr>
            <w:r w:rsidRPr="00CE02AD">
              <w:rPr>
                <w:rFonts w:ascii="Arial" w:hAnsi="Arial" w:cs="Arial"/>
                <w:sz w:val="18"/>
                <w:szCs w:val="18"/>
              </w:rPr>
              <w:t>NO</w:t>
            </w:r>
          </w:p>
        </w:tc>
        <w:tc>
          <w:tcPr>
            <w:tcW w:w="593" w:type="dxa"/>
            <w:tcBorders>
              <w:left w:val="single" w:sz="4" w:space="0" w:color="auto"/>
            </w:tcBorders>
            <w:shd w:val="clear" w:color="auto" w:fill="auto"/>
            <w:vAlign w:val="center"/>
          </w:tcPr>
          <w:p w14:paraId="645C62CE" w14:textId="77777777" w:rsidR="00E01366" w:rsidRPr="00CE02AD" w:rsidRDefault="00E01366" w:rsidP="00D760A0">
            <w:pPr>
              <w:jc w:val="center"/>
              <w:rPr>
                <w:rFonts w:ascii="Arial" w:hAnsi="Arial" w:cs="Arial"/>
                <w:sz w:val="18"/>
                <w:szCs w:val="18"/>
              </w:rPr>
            </w:pPr>
          </w:p>
        </w:tc>
        <w:tc>
          <w:tcPr>
            <w:tcW w:w="592" w:type="dxa"/>
            <w:tcBorders>
              <w:left w:val="nil"/>
              <w:right w:val="single" w:sz="4" w:space="0" w:color="auto"/>
            </w:tcBorders>
            <w:shd w:val="clear" w:color="auto" w:fill="auto"/>
            <w:vAlign w:val="center"/>
          </w:tcPr>
          <w:p w14:paraId="4747651B" w14:textId="77777777" w:rsidR="00E01366" w:rsidRPr="00CE02AD"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4FF38681" w:rsidR="00E01366" w:rsidRPr="00CE02AD" w:rsidRDefault="00871BC1" w:rsidP="00D760A0">
            <w:pPr>
              <w:jc w:val="center"/>
              <w:rPr>
                <w:rFonts w:ascii="Arial" w:hAnsi="Arial" w:cs="Arial"/>
                <w:sz w:val="18"/>
                <w:szCs w:val="18"/>
              </w:rPr>
            </w:pPr>
            <w:r w:rsidRPr="00CE02AD">
              <w:rPr>
                <w:rFonts w:ascii="Arial" w:hAnsi="Arial" w:cs="Arial"/>
                <w:sz w:val="18"/>
                <w:szCs w:val="18"/>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CE02AD" w:rsidRDefault="00E01366" w:rsidP="00D760A0">
            <w:pPr>
              <w:jc w:val="center"/>
              <w:rPr>
                <w:rFonts w:ascii="Arial" w:hAnsi="Arial" w:cs="Arial"/>
                <w:sz w:val="18"/>
                <w:szCs w:val="18"/>
              </w:rPr>
            </w:pPr>
          </w:p>
        </w:tc>
      </w:tr>
      <w:tr w:rsidR="00CE02AD" w:rsidRPr="00CE02AD"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CE02AD" w:rsidRDefault="00E01366" w:rsidP="00D760A0">
            <w:pPr>
              <w:rPr>
                <w:rFonts w:ascii="Arial" w:hAnsi="Arial" w:cs="Arial"/>
                <w:sz w:val="16"/>
                <w:szCs w:val="16"/>
              </w:rPr>
            </w:pPr>
          </w:p>
        </w:tc>
        <w:tc>
          <w:tcPr>
            <w:tcW w:w="580" w:type="dxa"/>
            <w:tcBorders>
              <w:top w:val="single" w:sz="4" w:space="0" w:color="auto"/>
              <w:bottom w:val="single" w:sz="4" w:space="0" w:color="auto"/>
            </w:tcBorders>
            <w:shd w:val="clear" w:color="auto" w:fill="auto"/>
            <w:vAlign w:val="center"/>
          </w:tcPr>
          <w:p w14:paraId="6BFA95E3" w14:textId="77777777" w:rsidR="00E01366" w:rsidRPr="00CE02AD" w:rsidRDefault="00E01366" w:rsidP="00D760A0">
            <w:pPr>
              <w:jc w:val="center"/>
              <w:rPr>
                <w:rFonts w:ascii="Arial" w:hAnsi="Arial" w:cs="Arial"/>
                <w:sz w:val="16"/>
                <w:szCs w:val="16"/>
              </w:rPr>
            </w:pPr>
          </w:p>
        </w:tc>
        <w:tc>
          <w:tcPr>
            <w:tcW w:w="650" w:type="dxa"/>
            <w:tcBorders>
              <w:bottom w:val="single" w:sz="4" w:space="0" w:color="auto"/>
            </w:tcBorders>
            <w:shd w:val="clear" w:color="auto" w:fill="auto"/>
            <w:vAlign w:val="center"/>
          </w:tcPr>
          <w:p w14:paraId="075524EC" w14:textId="77777777" w:rsidR="00E01366" w:rsidRPr="00CE02AD" w:rsidRDefault="00E01366" w:rsidP="00D760A0">
            <w:pPr>
              <w:jc w:val="center"/>
              <w:rPr>
                <w:rFonts w:ascii="Arial" w:hAnsi="Arial" w:cs="Arial"/>
                <w:sz w:val="16"/>
                <w:szCs w:val="18"/>
              </w:rPr>
            </w:pPr>
          </w:p>
        </w:tc>
        <w:tc>
          <w:tcPr>
            <w:tcW w:w="681" w:type="dxa"/>
            <w:tcBorders>
              <w:bottom w:val="single" w:sz="4" w:space="0" w:color="auto"/>
            </w:tcBorders>
            <w:shd w:val="clear" w:color="auto" w:fill="auto"/>
            <w:vAlign w:val="center"/>
          </w:tcPr>
          <w:p w14:paraId="68762429" w14:textId="77777777" w:rsidR="00E01366" w:rsidRPr="00CE02AD" w:rsidRDefault="00E01366" w:rsidP="00D760A0">
            <w:pPr>
              <w:jc w:val="center"/>
              <w:rPr>
                <w:rFonts w:ascii="Arial" w:hAnsi="Arial" w:cs="Arial"/>
                <w:sz w:val="16"/>
                <w:szCs w:val="18"/>
              </w:rPr>
            </w:pPr>
          </w:p>
        </w:tc>
        <w:tc>
          <w:tcPr>
            <w:tcW w:w="591" w:type="dxa"/>
            <w:tcBorders>
              <w:top w:val="single" w:sz="4" w:space="0" w:color="auto"/>
              <w:bottom w:val="single" w:sz="4" w:space="0" w:color="auto"/>
            </w:tcBorders>
            <w:shd w:val="clear" w:color="auto" w:fill="auto"/>
            <w:vAlign w:val="center"/>
          </w:tcPr>
          <w:p w14:paraId="17561C1A" w14:textId="77777777" w:rsidR="00E01366" w:rsidRPr="00CE02AD" w:rsidRDefault="00E01366" w:rsidP="00D760A0">
            <w:pPr>
              <w:jc w:val="center"/>
              <w:rPr>
                <w:rFonts w:ascii="Arial" w:hAnsi="Arial" w:cs="Arial"/>
                <w:sz w:val="16"/>
                <w:szCs w:val="18"/>
              </w:rPr>
            </w:pPr>
          </w:p>
        </w:tc>
        <w:tc>
          <w:tcPr>
            <w:tcW w:w="709" w:type="dxa"/>
            <w:tcBorders>
              <w:bottom w:val="single" w:sz="4" w:space="0" w:color="auto"/>
            </w:tcBorders>
            <w:shd w:val="clear" w:color="auto" w:fill="auto"/>
            <w:vAlign w:val="center"/>
          </w:tcPr>
          <w:p w14:paraId="5D80D7CD" w14:textId="77777777" w:rsidR="00E01366" w:rsidRPr="00CE02AD" w:rsidRDefault="00E01366" w:rsidP="00D760A0">
            <w:pPr>
              <w:jc w:val="center"/>
              <w:rPr>
                <w:rFonts w:ascii="Arial" w:hAnsi="Arial" w:cs="Arial"/>
                <w:sz w:val="16"/>
                <w:szCs w:val="18"/>
              </w:rPr>
            </w:pPr>
          </w:p>
        </w:tc>
        <w:tc>
          <w:tcPr>
            <w:tcW w:w="624" w:type="dxa"/>
            <w:tcBorders>
              <w:bottom w:val="single" w:sz="4" w:space="0" w:color="auto"/>
            </w:tcBorders>
            <w:shd w:val="clear" w:color="auto" w:fill="auto"/>
            <w:vAlign w:val="center"/>
          </w:tcPr>
          <w:p w14:paraId="32E3C2D1" w14:textId="77777777" w:rsidR="00E01366" w:rsidRPr="00CE02AD" w:rsidRDefault="00E01366" w:rsidP="00D760A0">
            <w:pPr>
              <w:jc w:val="center"/>
              <w:rPr>
                <w:rFonts w:ascii="Arial" w:hAnsi="Arial" w:cs="Arial"/>
                <w:sz w:val="16"/>
                <w:szCs w:val="18"/>
              </w:rPr>
            </w:pPr>
          </w:p>
        </w:tc>
        <w:tc>
          <w:tcPr>
            <w:tcW w:w="579" w:type="dxa"/>
            <w:tcBorders>
              <w:top w:val="single" w:sz="4" w:space="0" w:color="auto"/>
              <w:bottom w:val="single" w:sz="4" w:space="0" w:color="auto"/>
            </w:tcBorders>
            <w:shd w:val="clear" w:color="auto" w:fill="auto"/>
            <w:vAlign w:val="center"/>
          </w:tcPr>
          <w:p w14:paraId="66B5A29E" w14:textId="77777777" w:rsidR="00E01366" w:rsidRPr="00CE02AD" w:rsidRDefault="00E01366" w:rsidP="00D760A0">
            <w:pPr>
              <w:jc w:val="center"/>
              <w:rPr>
                <w:rFonts w:ascii="Arial" w:hAnsi="Arial" w:cs="Arial"/>
                <w:sz w:val="16"/>
                <w:szCs w:val="18"/>
              </w:rPr>
            </w:pPr>
          </w:p>
        </w:tc>
        <w:tc>
          <w:tcPr>
            <w:tcW w:w="603" w:type="dxa"/>
            <w:tcBorders>
              <w:bottom w:val="single" w:sz="4" w:space="0" w:color="auto"/>
            </w:tcBorders>
            <w:shd w:val="clear" w:color="auto" w:fill="auto"/>
            <w:vAlign w:val="center"/>
          </w:tcPr>
          <w:p w14:paraId="612C674E" w14:textId="77777777" w:rsidR="00E01366" w:rsidRPr="00CE02AD" w:rsidRDefault="00E01366" w:rsidP="00D760A0">
            <w:pPr>
              <w:jc w:val="center"/>
              <w:rPr>
                <w:rFonts w:ascii="Arial" w:hAnsi="Arial" w:cs="Arial"/>
                <w:sz w:val="16"/>
                <w:szCs w:val="18"/>
              </w:rPr>
            </w:pPr>
          </w:p>
        </w:tc>
        <w:tc>
          <w:tcPr>
            <w:tcW w:w="595" w:type="dxa"/>
            <w:tcBorders>
              <w:bottom w:val="single" w:sz="4" w:space="0" w:color="auto"/>
            </w:tcBorders>
            <w:shd w:val="clear" w:color="auto" w:fill="auto"/>
            <w:vAlign w:val="center"/>
          </w:tcPr>
          <w:p w14:paraId="7F84085A" w14:textId="77777777" w:rsidR="00E01366" w:rsidRPr="00CE02AD"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07416FEA" w14:textId="77777777" w:rsidR="00E01366" w:rsidRPr="00CE02AD" w:rsidRDefault="00E01366" w:rsidP="00D760A0">
            <w:pPr>
              <w:jc w:val="center"/>
              <w:rPr>
                <w:rFonts w:ascii="Arial" w:hAnsi="Arial" w:cs="Arial"/>
                <w:sz w:val="16"/>
                <w:szCs w:val="18"/>
              </w:rPr>
            </w:pPr>
          </w:p>
        </w:tc>
        <w:tc>
          <w:tcPr>
            <w:tcW w:w="593" w:type="dxa"/>
            <w:tcBorders>
              <w:bottom w:val="single" w:sz="4" w:space="0" w:color="auto"/>
            </w:tcBorders>
            <w:shd w:val="clear" w:color="auto" w:fill="auto"/>
            <w:vAlign w:val="center"/>
          </w:tcPr>
          <w:p w14:paraId="746F2A5D" w14:textId="77777777" w:rsidR="00E01366" w:rsidRPr="00CE02AD" w:rsidRDefault="00E01366" w:rsidP="00D760A0">
            <w:pPr>
              <w:jc w:val="center"/>
              <w:rPr>
                <w:rFonts w:ascii="Arial" w:hAnsi="Arial" w:cs="Arial"/>
                <w:sz w:val="16"/>
                <w:szCs w:val="18"/>
              </w:rPr>
            </w:pPr>
          </w:p>
        </w:tc>
        <w:tc>
          <w:tcPr>
            <w:tcW w:w="592" w:type="dxa"/>
            <w:tcBorders>
              <w:bottom w:val="single" w:sz="4" w:space="0" w:color="auto"/>
            </w:tcBorders>
            <w:shd w:val="clear" w:color="auto" w:fill="auto"/>
            <w:vAlign w:val="center"/>
          </w:tcPr>
          <w:p w14:paraId="67B92120" w14:textId="77777777" w:rsidR="00E01366" w:rsidRPr="00CE02AD"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4438C5D5" w14:textId="77777777" w:rsidR="00E01366" w:rsidRPr="00CE02AD" w:rsidRDefault="00E01366" w:rsidP="00D760A0">
            <w:pPr>
              <w:jc w:val="center"/>
              <w:rPr>
                <w:rFonts w:ascii="Arial" w:hAnsi="Arial" w:cs="Arial"/>
                <w:sz w:val="16"/>
                <w:szCs w:val="18"/>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CE02AD" w:rsidRDefault="00E01366" w:rsidP="00D760A0">
            <w:pPr>
              <w:jc w:val="center"/>
              <w:rPr>
                <w:rFonts w:ascii="Arial" w:hAnsi="Arial" w:cs="Arial"/>
                <w:sz w:val="16"/>
                <w:szCs w:val="18"/>
              </w:rPr>
            </w:pPr>
          </w:p>
        </w:tc>
      </w:tr>
    </w:tbl>
    <w:p w14:paraId="56272EEF" w14:textId="77777777" w:rsidR="00E01366" w:rsidRPr="00DB180C" w:rsidRDefault="00E01366">
      <w:pPr>
        <w:rPr>
          <w:rFonts w:ascii="Arial" w:hAnsi="Arial" w:cs="Arial"/>
          <w:color w:val="FF0000"/>
          <w:sz w:val="20"/>
          <w:szCs w:val="20"/>
        </w:rPr>
      </w:pPr>
    </w:p>
    <w:tbl>
      <w:tblPr>
        <w:tblStyle w:val="Tablaconcuadrcula"/>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4"/>
        <w:gridCol w:w="698"/>
        <w:gridCol w:w="693"/>
        <w:gridCol w:w="2071"/>
        <w:gridCol w:w="1102"/>
        <w:gridCol w:w="800"/>
        <w:gridCol w:w="692"/>
      </w:tblGrid>
      <w:tr w:rsidR="00AA771A" w:rsidRPr="00AA771A" w14:paraId="0045F3AD" w14:textId="7BCFB288"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AA771A" w:rsidRDefault="002C6B38">
            <w:pPr>
              <w:rPr>
                <w:rFonts w:ascii="Arial" w:hAnsi="Arial" w:cs="Arial"/>
                <w:b/>
                <w:szCs w:val="20"/>
              </w:rPr>
            </w:pPr>
            <w:bookmarkStart w:id="1" w:name="_Hlk60147480"/>
            <w:r w:rsidRPr="00AA771A">
              <w:rPr>
                <w:rFonts w:ascii="Arial" w:hAnsi="Arial" w:cs="Arial"/>
                <w:b/>
                <w:bCs/>
                <w:szCs w:val="20"/>
              </w:rPr>
              <w:t>Definición</w:t>
            </w:r>
          </w:p>
        </w:tc>
      </w:tr>
      <w:tr w:rsidR="00DB180C" w:rsidRPr="00DB180C" w14:paraId="2AAFE8C6" w14:textId="77777777"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C63798" w14:textId="77777777" w:rsidR="00CE066F" w:rsidRDefault="00CE066F" w:rsidP="00AA771A">
            <w:pPr>
              <w:contextualSpacing/>
              <w:jc w:val="both"/>
              <w:rPr>
                <w:rFonts w:ascii="Arial" w:hAnsi="Arial"/>
                <w:sz w:val="20"/>
                <w:szCs w:val="20"/>
              </w:rPr>
            </w:pPr>
          </w:p>
          <w:p w14:paraId="33672879" w14:textId="78A970BF" w:rsidR="00CE066F" w:rsidRDefault="00CE066F" w:rsidP="00AA771A">
            <w:pPr>
              <w:contextualSpacing/>
              <w:jc w:val="both"/>
              <w:rPr>
                <w:rFonts w:ascii="Arial" w:hAnsi="Arial"/>
                <w:sz w:val="20"/>
                <w:szCs w:val="20"/>
              </w:rPr>
            </w:pPr>
            <w:r>
              <w:rPr>
                <w:rFonts w:ascii="Arial" w:hAnsi="Arial"/>
                <w:sz w:val="20"/>
                <w:szCs w:val="20"/>
              </w:rPr>
              <w:t xml:space="preserve">El indicador representa el número de </w:t>
            </w:r>
            <w:r w:rsidRPr="00782760">
              <w:rPr>
                <w:rFonts w:ascii="Arial" w:hAnsi="Arial"/>
                <w:sz w:val="20"/>
                <w:szCs w:val="20"/>
              </w:rPr>
              <w:t>Centro</w:t>
            </w:r>
            <w:r w:rsidR="00575D7A">
              <w:rPr>
                <w:rFonts w:ascii="Arial" w:hAnsi="Arial"/>
                <w:sz w:val="20"/>
                <w:szCs w:val="20"/>
              </w:rPr>
              <w:t>s</w:t>
            </w:r>
            <w:r w:rsidRPr="00782760">
              <w:rPr>
                <w:rFonts w:ascii="Arial" w:hAnsi="Arial"/>
                <w:sz w:val="20"/>
                <w:szCs w:val="20"/>
              </w:rPr>
              <w:t xml:space="preserve"> de Extensión Cultural, Proyección Social y Educación Continua</w:t>
            </w:r>
            <w:r>
              <w:rPr>
                <w:rFonts w:ascii="Arial" w:hAnsi="Arial"/>
                <w:sz w:val="20"/>
                <w:szCs w:val="20"/>
              </w:rPr>
              <w:t xml:space="preserve"> que brindan el </w:t>
            </w:r>
            <w:r w:rsidRPr="00782760">
              <w:rPr>
                <w:rFonts w:ascii="Arial" w:hAnsi="Arial"/>
                <w:sz w:val="20"/>
                <w:szCs w:val="20"/>
              </w:rPr>
              <w:t>Servicio de Extensión Cultural, Proyección Social y Educación Continua en Educación Superior Universitaria</w:t>
            </w:r>
            <w:r>
              <w:rPr>
                <w:rFonts w:ascii="Arial" w:hAnsi="Arial"/>
                <w:sz w:val="20"/>
                <w:szCs w:val="20"/>
              </w:rPr>
              <w:t xml:space="preserve"> en estado situacional inadecuado respecto al total de </w:t>
            </w:r>
            <w:r w:rsidRPr="00AA2E79">
              <w:rPr>
                <w:rFonts w:ascii="Arial" w:hAnsi="Arial"/>
                <w:sz w:val="20"/>
                <w:szCs w:val="20"/>
              </w:rPr>
              <w:t>Centro</w:t>
            </w:r>
            <w:r w:rsidR="00575D7A">
              <w:rPr>
                <w:rFonts w:ascii="Arial" w:hAnsi="Arial"/>
                <w:sz w:val="20"/>
                <w:szCs w:val="20"/>
              </w:rPr>
              <w:t>s</w:t>
            </w:r>
            <w:r w:rsidRPr="00AA2E79">
              <w:rPr>
                <w:rFonts w:ascii="Arial" w:hAnsi="Arial"/>
                <w:sz w:val="20"/>
                <w:szCs w:val="20"/>
              </w:rPr>
              <w:t xml:space="preserve"> </w:t>
            </w:r>
            <w:r>
              <w:rPr>
                <w:rFonts w:ascii="Arial" w:hAnsi="Arial"/>
                <w:sz w:val="20"/>
                <w:szCs w:val="20"/>
              </w:rPr>
              <w:t>de las universidades públicas, expresado como porcentaje de los centros en mención con dicha característica.</w:t>
            </w:r>
          </w:p>
          <w:p w14:paraId="6C34CF45" w14:textId="77777777" w:rsidR="00CE066F" w:rsidRDefault="00CE066F" w:rsidP="00AA771A">
            <w:pPr>
              <w:contextualSpacing/>
              <w:jc w:val="both"/>
              <w:rPr>
                <w:rFonts w:ascii="Arial" w:hAnsi="Arial"/>
                <w:sz w:val="20"/>
                <w:szCs w:val="20"/>
              </w:rPr>
            </w:pPr>
          </w:p>
          <w:p w14:paraId="51174DDE" w14:textId="09D872AB" w:rsidR="00FB441D" w:rsidRDefault="00AA771A" w:rsidP="00AA771A">
            <w:pPr>
              <w:contextualSpacing/>
              <w:jc w:val="both"/>
              <w:rPr>
                <w:rFonts w:ascii="Arial" w:hAnsi="Arial"/>
                <w:sz w:val="20"/>
                <w:szCs w:val="20"/>
              </w:rPr>
            </w:pPr>
            <w:r w:rsidRPr="00283123">
              <w:rPr>
                <w:rFonts w:ascii="Arial" w:hAnsi="Arial"/>
                <w:sz w:val="20"/>
                <w:szCs w:val="20"/>
              </w:rPr>
              <w:t>Los Servicios de Extensión Cultural, Proyección Social y Educación Continua</w:t>
            </w:r>
            <w:r w:rsidR="00FB441D">
              <w:rPr>
                <w:rFonts w:ascii="Arial" w:hAnsi="Arial"/>
                <w:sz w:val="20"/>
                <w:szCs w:val="20"/>
              </w:rPr>
              <w:t xml:space="preserve">, </w:t>
            </w:r>
            <w:r w:rsidR="00FB441D" w:rsidRPr="00FB441D">
              <w:rPr>
                <w:rFonts w:ascii="Arial" w:hAnsi="Arial"/>
                <w:sz w:val="20"/>
                <w:szCs w:val="20"/>
              </w:rPr>
              <w:t>en el ámbito de la Educación Superior Universitaria</w:t>
            </w:r>
            <w:r w:rsidR="00FB441D">
              <w:rPr>
                <w:rFonts w:ascii="Arial" w:hAnsi="Arial"/>
                <w:sz w:val="20"/>
                <w:szCs w:val="20"/>
              </w:rPr>
              <w:t>,</w:t>
            </w:r>
            <w:r w:rsidR="00FB441D" w:rsidRPr="00FB441D">
              <w:rPr>
                <w:rFonts w:ascii="Arial" w:hAnsi="Arial"/>
                <w:sz w:val="20"/>
                <w:szCs w:val="20"/>
              </w:rPr>
              <w:t xml:space="preserve"> se asocia</w:t>
            </w:r>
            <w:r w:rsidR="00FB441D">
              <w:rPr>
                <w:rFonts w:ascii="Arial" w:hAnsi="Arial"/>
                <w:sz w:val="20"/>
                <w:szCs w:val="20"/>
              </w:rPr>
              <w:t>n</w:t>
            </w:r>
            <w:r w:rsidR="00FB441D" w:rsidRPr="00FB441D">
              <w:rPr>
                <w:rFonts w:ascii="Arial" w:hAnsi="Arial"/>
                <w:sz w:val="20"/>
                <w:szCs w:val="20"/>
              </w:rPr>
              <w:t xml:space="preserve"> directamente con los fines de la universidad contemplados en la Ley Universitaria</w:t>
            </w:r>
            <w:r w:rsidR="00326B92">
              <w:rPr>
                <w:rStyle w:val="Refdenotaalpie"/>
                <w:rFonts w:ascii="Arial" w:hAnsi="Arial"/>
                <w:sz w:val="20"/>
                <w:szCs w:val="20"/>
              </w:rPr>
              <w:footnoteReference w:id="1"/>
            </w:r>
            <w:r w:rsidR="00FB441D" w:rsidRPr="00FB441D">
              <w:rPr>
                <w:rFonts w:ascii="Arial" w:hAnsi="Arial"/>
                <w:sz w:val="20"/>
                <w:szCs w:val="20"/>
              </w:rPr>
              <w:t xml:space="preserve"> , y con la Política Nacional de Educación Superior y Técnico Productiva (PNESTP), a través de</w:t>
            </w:r>
            <w:r w:rsidR="00FB441D">
              <w:rPr>
                <w:rFonts w:ascii="Arial" w:hAnsi="Arial"/>
                <w:sz w:val="20"/>
                <w:szCs w:val="20"/>
              </w:rPr>
              <w:t>l</w:t>
            </w:r>
            <w:r w:rsidR="00FB441D" w:rsidRPr="00FB441D">
              <w:rPr>
                <w:rFonts w:ascii="Arial" w:hAnsi="Arial"/>
                <w:sz w:val="20"/>
                <w:szCs w:val="20"/>
              </w:rPr>
              <w:t xml:space="preserve"> establec</w:t>
            </w:r>
            <w:r w:rsidR="00FB441D">
              <w:rPr>
                <w:rFonts w:ascii="Arial" w:hAnsi="Arial"/>
                <w:sz w:val="20"/>
                <w:szCs w:val="20"/>
              </w:rPr>
              <w:t>imiento de</w:t>
            </w:r>
            <w:r w:rsidR="00FB441D" w:rsidRPr="00FB441D">
              <w:rPr>
                <w:rFonts w:ascii="Arial" w:hAnsi="Arial"/>
                <w:sz w:val="20"/>
                <w:szCs w:val="20"/>
              </w:rPr>
              <w:t xml:space="preserve"> mecanismos para el desarrollo de acciones y/o proyectos de extensión cultural y proyección social de los y las estudiantes, con acompañamiento y participación de la plana docente, con la finalidad de complementar y consolidar el proceso formativo integral, en respuesta a las necesidades de su ámbito de acción. Est</w:t>
            </w:r>
            <w:r w:rsidR="00FB441D">
              <w:rPr>
                <w:rFonts w:ascii="Arial" w:hAnsi="Arial"/>
                <w:sz w:val="20"/>
                <w:szCs w:val="20"/>
              </w:rPr>
              <w:t>os</w:t>
            </w:r>
            <w:r w:rsidR="00FB441D" w:rsidRPr="00FB441D">
              <w:rPr>
                <w:rFonts w:ascii="Arial" w:hAnsi="Arial"/>
                <w:sz w:val="20"/>
                <w:szCs w:val="20"/>
              </w:rPr>
              <w:t xml:space="preserve"> servicio</w:t>
            </w:r>
            <w:r w:rsidR="00FB441D">
              <w:rPr>
                <w:rFonts w:ascii="Arial" w:hAnsi="Arial"/>
                <w:sz w:val="20"/>
                <w:szCs w:val="20"/>
              </w:rPr>
              <w:t>s</w:t>
            </w:r>
            <w:r w:rsidR="00FB441D" w:rsidRPr="00FB441D">
              <w:rPr>
                <w:rFonts w:ascii="Arial" w:hAnsi="Arial"/>
                <w:sz w:val="20"/>
                <w:szCs w:val="20"/>
              </w:rPr>
              <w:t xml:space="preserve"> tiene</w:t>
            </w:r>
            <w:r w:rsidR="00FB441D">
              <w:rPr>
                <w:rFonts w:ascii="Arial" w:hAnsi="Arial"/>
                <w:sz w:val="20"/>
                <w:szCs w:val="20"/>
              </w:rPr>
              <w:t>n</w:t>
            </w:r>
            <w:r w:rsidR="00FB441D" w:rsidRPr="00FB441D">
              <w:rPr>
                <w:rFonts w:ascii="Arial" w:hAnsi="Arial"/>
                <w:sz w:val="20"/>
                <w:szCs w:val="20"/>
              </w:rPr>
              <w:t xml:space="preserve"> como objetivo extender el impacto de la universidad más allá de sus propios ambientes académicos, contribuyendo al desarrollo cultural, social y económico de la sociedad en general, a través de una serie de actividades y programas asociados a sus especialidades, áreas académicas o trabajos de investigación</w:t>
            </w:r>
            <w:r w:rsidR="00FB441D">
              <w:rPr>
                <w:rFonts w:ascii="Arial" w:hAnsi="Arial"/>
                <w:sz w:val="20"/>
                <w:szCs w:val="20"/>
              </w:rPr>
              <w:t>.</w:t>
            </w:r>
          </w:p>
          <w:p w14:paraId="1B09A29B" w14:textId="5BAFE574" w:rsidR="00FB441D" w:rsidRDefault="00FB441D" w:rsidP="00AA771A">
            <w:pPr>
              <w:contextualSpacing/>
              <w:jc w:val="both"/>
              <w:rPr>
                <w:rFonts w:ascii="Arial" w:hAnsi="Arial"/>
                <w:sz w:val="20"/>
                <w:szCs w:val="20"/>
              </w:rPr>
            </w:pPr>
          </w:p>
          <w:p w14:paraId="0602887B" w14:textId="7C026E6F" w:rsidR="00FB441D" w:rsidRDefault="00FB441D" w:rsidP="00AA771A">
            <w:pPr>
              <w:contextualSpacing/>
              <w:jc w:val="both"/>
              <w:rPr>
                <w:rFonts w:ascii="Arial" w:hAnsi="Arial"/>
                <w:sz w:val="20"/>
                <w:szCs w:val="20"/>
              </w:rPr>
            </w:pPr>
            <w:r>
              <w:rPr>
                <w:rFonts w:ascii="Arial" w:hAnsi="Arial"/>
                <w:sz w:val="20"/>
                <w:szCs w:val="20"/>
              </w:rPr>
              <w:t>Además, e</w:t>
            </w:r>
            <w:r w:rsidRPr="00FB441D">
              <w:rPr>
                <w:rFonts w:ascii="Arial" w:hAnsi="Arial"/>
                <w:sz w:val="20"/>
                <w:szCs w:val="20"/>
              </w:rPr>
              <w:t>ntre los fines de la universidad, se destaca su orientación hacia la promoción de la cultura, la responsabilidad social y la educación continua, a través de la preservación y transmisión del conocimiento, la afirmación de las identidades culturales, la formación de profesionales con sentido social, la proyección comunitaria, la difusión del saber en beneficio de la humanidad y la contribución al desarrollo humano, democrático e inclusivo en todos los niveles</w:t>
            </w:r>
            <w:r w:rsidR="00D51452">
              <w:rPr>
                <w:rFonts w:ascii="Arial" w:hAnsi="Arial"/>
                <w:sz w:val="20"/>
                <w:szCs w:val="20"/>
              </w:rPr>
              <w:t>.</w:t>
            </w:r>
          </w:p>
          <w:p w14:paraId="259B6688" w14:textId="2A86285B" w:rsidR="00FB441D" w:rsidRDefault="00FB441D" w:rsidP="00AA771A">
            <w:pPr>
              <w:contextualSpacing/>
              <w:jc w:val="both"/>
              <w:rPr>
                <w:rFonts w:ascii="Arial" w:hAnsi="Arial"/>
                <w:sz w:val="20"/>
                <w:szCs w:val="20"/>
              </w:rPr>
            </w:pPr>
          </w:p>
          <w:p w14:paraId="77C70019" w14:textId="77E6813B" w:rsidR="00FB441D" w:rsidRDefault="00FB441D" w:rsidP="00AA771A">
            <w:pPr>
              <w:contextualSpacing/>
              <w:jc w:val="both"/>
              <w:rPr>
                <w:rFonts w:ascii="Arial" w:hAnsi="Arial"/>
                <w:sz w:val="20"/>
                <w:szCs w:val="20"/>
              </w:rPr>
            </w:pPr>
            <w:r>
              <w:rPr>
                <w:rFonts w:ascii="Arial" w:hAnsi="Arial"/>
                <w:sz w:val="20"/>
                <w:szCs w:val="20"/>
              </w:rPr>
              <w:t>Del mismo modo, conforme a</w:t>
            </w:r>
            <w:r w:rsidRPr="00FB441D">
              <w:rPr>
                <w:rFonts w:ascii="Arial" w:hAnsi="Arial"/>
                <w:sz w:val="20"/>
                <w:szCs w:val="20"/>
              </w:rPr>
              <w:t xml:space="preserve"> lo establecido en la Ley Universitaria, la universidad tiene entre sus funciones la “Extensión Cultural y Proyección Social” y la “Educación Continua”. Respecto a esta última, </w:t>
            </w:r>
            <w:r w:rsidRPr="00FB441D">
              <w:rPr>
                <w:rFonts w:ascii="Arial" w:hAnsi="Arial"/>
                <w:sz w:val="20"/>
                <w:szCs w:val="20"/>
              </w:rPr>
              <w:lastRenderedPageBreak/>
              <w:t>se establece respecto a los programas de formación continua que las universidades deben desarrollar programas académicos de formación continua, que buscan actualizar los conocimientos profesionales en aspectos teóricos y prácticos de una disciplina, o desarrollar y actualizar determinadas habilidades y competencia de los egresados</w:t>
            </w:r>
            <w:r>
              <w:rPr>
                <w:rFonts w:ascii="Arial" w:hAnsi="Arial"/>
                <w:sz w:val="20"/>
                <w:szCs w:val="20"/>
              </w:rPr>
              <w:t>.</w:t>
            </w:r>
          </w:p>
          <w:p w14:paraId="3B2F6C12" w14:textId="3D6FC265" w:rsidR="0071473B" w:rsidRDefault="0071473B" w:rsidP="00AA771A">
            <w:pPr>
              <w:contextualSpacing/>
              <w:jc w:val="both"/>
              <w:rPr>
                <w:rFonts w:ascii="Arial" w:hAnsi="Arial"/>
                <w:sz w:val="20"/>
                <w:szCs w:val="20"/>
              </w:rPr>
            </w:pPr>
          </w:p>
          <w:p w14:paraId="6F52FFDD" w14:textId="038167EC" w:rsidR="0071473B" w:rsidRDefault="0071473B" w:rsidP="0071473B">
            <w:pPr>
              <w:spacing w:before="240" w:after="120"/>
              <w:contextualSpacing/>
              <w:jc w:val="both"/>
              <w:rPr>
                <w:rFonts w:ascii="Arial" w:hAnsi="Arial"/>
                <w:sz w:val="20"/>
                <w:szCs w:val="20"/>
              </w:rPr>
            </w:pPr>
            <w:r>
              <w:rPr>
                <w:rFonts w:ascii="Arial" w:hAnsi="Arial"/>
                <w:sz w:val="20"/>
                <w:szCs w:val="20"/>
              </w:rPr>
              <w:t xml:space="preserve">Los </w:t>
            </w:r>
            <w:r w:rsidRPr="00AA2E79">
              <w:rPr>
                <w:rFonts w:ascii="Arial" w:hAnsi="Arial"/>
                <w:sz w:val="20"/>
                <w:szCs w:val="20"/>
              </w:rPr>
              <w:t>Centro</w:t>
            </w:r>
            <w:r w:rsidR="00575D7A">
              <w:rPr>
                <w:rFonts w:ascii="Arial" w:hAnsi="Arial"/>
                <w:sz w:val="20"/>
                <w:szCs w:val="20"/>
              </w:rPr>
              <w:t>s</w:t>
            </w:r>
            <w:r w:rsidRPr="00AA2E79">
              <w:rPr>
                <w:rFonts w:ascii="Arial" w:hAnsi="Arial"/>
                <w:sz w:val="20"/>
                <w:szCs w:val="20"/>
              </w:rPr>
              <w:t xml:space="preserve"> de Extensión Cultural, Proyección Social y Educación Continua</w:t>
            </w:r>
            <w:r>
              <w:rPr>
                <w:rFonts w:ascii="Arial" w:hAnsi="Arial"/>
                <w:sz w:val="20"/>
                <w:szCs w:val="20"/>
              </w:rPr>
              <w:t xml:space="preserve"> que brindan el </w:t>
            </w:r>
            <w:r w:rsidRPr="00AA2E79">
              <w:rPr>
                <w:rFonts w:ascii="Arial" w:hAnsi="Arial"/>
                <w:sz w:val="20"/>
                <w:szCs w:val="20"/>
              </w:rPr>
              <w:t>Servicio de Extensión Cultural, Proyección Social y Educación Continua en Educación Superior Universitaria</w:t>
            </w:r>
            <w:r>
              <w:rPr>
                <w:rFonts w:ascii="Arial" w:hAnsi="Arial"/>
                <w:sz w:val="20"/>
                <w:szCs w:val="20"/>
              </w:rPr>
              <w:t xml:space="preserve"> en el marco del SNPMGI </w:t>
            </w:r>
            <w:r w:rsidR="00FB441D">
              <w:rPr>
                <w:rFonts w:ascii="Arial" w:hAnsi="Arial"/>
                <w:sz w:val="20"/>
                <w:szCs w:val="20"/>
              </w:rPr>
              <w:t>son</w:t>
            </w:r>
            <w:r w:rsidRPr="00052C05">
              <w:rPr>
                <w:rFonts w:ascii="Arial" w:hAnsi="Arial"/>
                <w:sz w:val="20"/>
                <w:szCs w:val="20"/>
              </w:rPr>
              <w:t xml:space="preserve"> el conjunto de recursos o factores productivos (infraestructura, equipos, </w:t>
            </w:r>
            <w:r w:rsidRPr="0039057B">
              <w:rPr>
                <w:rFonts w:ascii="Arial" w:hAnsi="Arial"/>
                <w:sz w:val="20"/>
                <w:szCs w:val="20"/>
              </w:rPr>
              <w:t>personal, organización, capacidad de gestión</w:t>
            </w:r>
            <w:r>
              <w:rPr>
                <w:rFonts w:ascii="Arial" w:hAnsi="Arial"/>
                <w:sz w:val="20"/>
                <w:szCs w:val="20"/>
              </w:rPr>
              <w:t>,</w:t>
            </w:r>
            <w:r w:rsidRPr="0039057B">
              <w:rPr>
                <w:rFonts w:ascii="Arial" w:hAnsi="Arial"/>
                <w:sz w:val="20"/>
                <w:szCs w:val="20"/>
              </w:rPr>
              <w:t xml:space="preserve"> entre otros) </w:t>
            </w:r>
            <w:r>
              <w:rPr>
                <w:rFonts w:ascii="Arial" w:hAnsi="Arial"/>
                <w:sz w:val="20"/>
                <w:szCs w:val="20"/>
              </w:rPr>
              <w:t xml:space="preserve">dentro de uno o más locales universitarios </w:t>
            </w:r>
            <w:r w:rsidRPr="0039057B">
              <w:rPr>
                <w:rFonts w:ascii="Arial" w:hAnsi="Arial"/>
                <w:sz w:val="20"/>
                <w:szCs w:val="20"/>
              </w:rPr>
              <w:t xml:space="preserve">que, articulados entre sí, tienen la capacidad de proveer </w:t>
            </w:r>
            <w:r>
              <w:rPr>
                <w:rFonts w:ascii="Arial" w:hAnsi="Arial"/>
                <w:sz w:val="20"/>
                <w:szCs w:val="20"/>
              </w:rPr>
              <w:t xml:space="preserve">el </w:t>
            </w:r>
            <w:r w:rsidRPr="0039057B">
              <w:rPr>
                <w:rFonts w:ascii="Arial" w:hAnsi="Arial"/>
                <w:sz w:val="20"/>
                <w:szCs w:val="20"/>
              </w:rPr>
              <w:t>servicio a la población objetivo.</w:t>
            </w:r>
            <w:r>
              <w:rPr>
                <w:rFonts w:ascii="Arial" w:hAnsi="Arial"/>
                <w:sz w:val="20"/>
                <w:szCs w:val="20"/>
              </w:rPr>
              <w:t xml:space="preserve"> </w:t>
            </w:r>
            <w:r>
              <w:rPr>
                <w:rFonts w:ascii="Arial" w:hAnsi="Arial" w:cs="Arial"/>
                <w:sz w:val="20"/>
                <w:szCs w:val="20"/>
              </w:rPr>
              <w:t>Cabe precisar que, dentro de un local universitario pueden funcionar una o más centros.</w:t>
            </w:r>
          </w:p>
          <w:p w14:paraId="2A53F84C" w14:textId="77777777" w:rsidR="00AA771A" w:rsidRPr="00CB7131" w:rsidRDefault="00AA771A" w:rsidP="00AA771A">
            <w:pPr>
              <w:contextualSpacing/>
              <w:jc w:val="both"/>
              <w:rPr>
                <w:rFonts w:ascii="Arial" w:hAnsi="Arial"/>
                <w:sz w:val="20"/>
                <w:szCs w:val="20"/>
              </w:rPr>
            </w:pPr>
          </w:p>
          <w:p w14:paraId="0D07C290" w14:textId="17573538" w:rsidR="00C560A8" w:rsidRDefault="00C560A8" w:rsidP="00C560A8">
            <w:pPr>
              <w:contextualSpacing/>
              <w:jc w:val="both"/>
              <w:rPr>
                <w:rFonts w:ascii="Arial" w:hAnsi="Arial"/>
                <w:sz w:val="20"/>
                <w:szCs w:val="20"/>
              </w:rPr>
            </w:pPr>
            <w:r>
              <w:rPr>
                <w:rFonts w:ascii="Arial" w:hAnsi="Arial"/>
                <w:sz w:val="20"/>
                <w:szCs w:val="20"/>
              </w:rPr>
              <w:t xml:space="preserve">Los </w:t>
            </w:r>
            <w:r w:rsidRPr="00AA2E79">
              <w:rPr>
                <w:rFonts w:ascii="Arial" w:hAnsi="Arial"/>
                <w:sz w:val="20"/>
                <w:szCs w:val="20"/>
              </w:rPr>
              <w:t>Centro</w:t>
            </w:r>
            <w:r w:rsidR="00575D7A">
              <w:rPr>
                <w:rFonts w:ascii="Arial" w:hAnsi="Arial"/>
                <w:sz w:val="20"/>
                <w:szCs w:val="20"/>
              </w:rPr>
              <w:t>s</w:t>
            </w:r>
            <w:r w:rsidRPr="00AA2E79">
              <w:rPr>
                <w:rFonts w:ascii="Arial" w:hAnsi="Arial"/>
                <w:sz w:val="20"/>
                <w:szCs w:val="20"/>
              </w:rPr>
              <w:t xml:space="preserve"> de Extensión Cultural, Proyección Social y Educación Continua</w:t>
            </w:r>
            <w:r>
              <w:rPr>
                <w:rFonts w:ascii="Arial" w:hAnsi="Arial"/>
                <w:sz w:val="20"/>
                <w:szCs w:val="20"/>
              </w:rPr>
              <w:t xml:space="preserve"> se encuentra en estado situacional inadecuado, cuando no cumple con los estándares de calidad exigidos y/o niveles de servicio del </w:t>
            </w:r>
            <w:r w:rsidRPr="00283123">
              <w:rPr>
                <w:rFonts w:ascii="Arial" w:hAnsi="Arial"/>
                <w:sz w:val="20"/>
                <w:szCs w:val="20"/>
              </w:rPr>
              <w:t>Servicios de Extensión Cultural, Proyección Social y Educación Continua</w:t>
            </w:r>
            <w:r>
              <w:rPr>
                <w:rFonts w:ascii="Arial" w:hAnsi="Arial"/>
                <w:sz w:val="20"/>
                <w:szCs w:val="20"/>
              </w:rPr>
              <w:t xml:space="preserve"> de Educación Superior Universitaria.</w:t>
            </w:r>
          </w:p>
          <w:p w14:paraId="4959E3FD" w14:textId="77777777" w:rsidR="00AA771A" w:rsidRPr="00CB7131" w:rsidRDefault="00AA771A" w:rsidP="00AA771A">
            <w:pPr>
              <w:contextualSpacing/>
              <w:jc w:val="both"/>
              <w:rPr>
                <w:rFonts w:ascii="Arial" w:hAnsi="Arial"/>
                <w:sz w:val="20"/>
                <w:szCs w:val="20"/>
              </w:rPr>
            </w:pPr>
          </w:p>
          <w:p w14:paraId="383A25B7" w14:textId="1B3C61B2" w:rsidR="00C560A8" w:rsidRPr="00DC0E89" w:rsidRDefault="00C560A8" w:rsidP="00C560A8">
            <w:pPr>
              <w:contextualSpacing/>
              <w:jc w:val="both"/>
              <w:rPr>
                <w:rFonts w:ascii="Arial" w:hAnsi="Arial"/>
                <w:sz w:val="20"/>
                <w:szCs w:val="20"/>
              </w:rPr>
            </w:pPr>
            <w:r>
              <w:rPr>
                <w:rFonts w:ascii="Arial" w:hAnsi="Arial"/>
                <w:sz w:val="20"/>
                <w:szCs w:val="20"/>
              </w:rPr>
              <w:t>Los</w:t>
            </w:r>
            <w:r w:rsidRPr="00AA2E79">
              <w:rPr>
                <w:rFonts w:ascii="Arial" w:hAnsi="Arial"/>
                <w:sz w:val="20"/>
                <w:szCs w:val="20"/>
              </w:rPr>
              <w:t xml:space="preserve"> Centro de Extensión Cultural, Proyección Social y Educación Continua</w:t>
            </w:r>
            <w:r w:rsidR="001569C9">
              <w:rPr>
                <w:rFonts w:ascii="Arial" w:hAnsi="Arial"/>
                <w:sz w:val="20"/>
                <w:szCs w:val="20"/>
              </w:rPr>
              <w:t>,</w:t>
            </w:r>
            <w:r>
              <w:rPr>
                <w:rFonts w:ascii="Arial" w:hAnsi="Arial"/>
                <w:sz w:val="20"/>
                <w:szCs w:val="20"/>
              </w:rPr>
              <w:t xml:space="preserve"> a las que se hace referencia en el presente indicador</w:t>
            </w:r>
            <w:r w:rsidR="00983082">
              <w:rPr>
                <w:rFonts w:ascii="Arial" w:hAnsi="Arial"/>
                <w:sz w:val="20"/>
                <w:szCs w:val="20"/>
              </w:rPr>
              <w:t>,</w:t>
            </w:r>
            <w:r>
              <w:rPr>
                <w:rFonts w:ascii="Arial" w:hAnsi="Arial"/>
                <w:sz w:val="20"/>
                <w:szCs w:val="20"/>
              </w:rPr>
              <w:t xml:space="preserve"> son aquellas que ya cuentan con una infraestructura existente independiente de su estado de funcionamiento o situación de posesión (infraestructura propia, alquilada, cedida, entre otros).</w:t>
            </w:r>
          </w:p>
          <w:p w14:paraId="7F52E88A" w14:textId="25155DB2" w:rsidR="00847FB8" w:rsidRPr="00DB180C" w:rsidRDefault="00847FB8" w:rsidP="00847FB8">
            <w:pPr>
              <w:pStyle w:val="yiv8864493563msolistparagraph"/>
              <w:shd w:val="clear" w:color="auto" w:fill="FFFFFF"/>
              <w:spacing w:before="0" w:beforeAutospacing="0" w:after="0" w:afterAutospacing="0"/>
              <w:jc w:val="both"/>
              <w:rPr>
                <w:rFonts w:ascii="Arial" w:eastAsiaTheme="minorHAnsi" w:hAnsi="Arial" w:cs="Arial"/>
                <w:color w:val="FF0000"/>
                <w:sz w:val="20"/>
                <w:szCs w:val="18"/>
                <w:lang w:eastAsia="es-ES_tradnl"/>
              </w:rPr>
            </w:pPr>
          </w:p>
        </w:tc>
      </w:tr>
      <w:tr w:rsidR="00AA771A" w:rsidRPr="00AA771A" w14:paraId="55A12013"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AA771A" w:rsidRDefault="002C6B38" w:rsidP="002C6B38">
            <w:pPr>
              <w:rPr>
                <w:rFonts w:ascii="Arial" w:hAnsi="Arial" w:cs="Arial"/>
                <w:b/>
                <w:szCs w:val="20"/>
              </w:rPr>
            </w:pPr>
            <w:r w:rsidRPr="00AA771A">
              <w:rPr>
                <w:rFonts w:ascii="Arial" w:hAnsi="Arial" w:cs="Arial"/>
                <w:b/>
                <w:bCs/>
                <w:szCs w:val="20"/>
              </w:rPr>
              <w:lastRenderedPageBreak/>
              <w:t>Justificación</w:t>
            </w:r>
          </w:p>
        </w:tc>
      </w:tr>
      <w:tr w:rsidR="00AA771A" w:rsidRPr="00AA771A" w14:paraId="55F87BB1"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830FB2" w14:textId="77777777" w:rsidR="00326B92" w:rsidRDefault="00326B92" w:rsidP="00AA771A">
            <w:pPr>
              <w:contextualSpacing/>
              <w:jc w:val="both"/>
              <w:rPr>
                <w:rFonts w:ascii="Arial" w:hAnsi="Arial"/>
                <w:sz w:val="20"/>
                <w:szCs w:val="20"/>
              </w:rPr>
            </w:pPr>
          </w:p>
          <w:p w14:paraId="6ABA1087" w14:textId="3F157E90" w:rsidR="00AA771A" w:rsidRDefault="00AA771A" w:rsidP="00AA771A">
            <w:pPr>
              <w:contextualSpacing/>
              <w:jc w:val="both"/>
              <w:rPr>
                <w:rFonts w:ascii="Arial" w:hAnsi="Arial"/>
                <w:sz w:val="20"/>
                <w:szCs w:val="20"/>
              </w:rPr>
            </w:pPr>
            <w:r w:rsidRPr="00AA771A">
              <w:rPr>
                <w:rFonts w:ascii="Arial" w:hAnsi="Arial"/>
                <w:sz w:val="20"/>
                <w:szCs w:val="20"/>
              </w:rPr>
              <w:t xml:space="preserve">Este indicador permite medir directamente la brecha de calidad en la infraestructura </w:t>
            </w:r>
            <w:r w:rsidR="001C16C9">
              <w:rPr>
                <w:rFonts w:ascii="Arial" w:hAnsi="Arial"/>
                <w:sz w:val="20"/>
                <w:szCs w:val="20"/>
              </w:rPr>
              <w:t xml:space="preserve">a través del estado de los </w:t>
            </w:r>
            <w:r w:rsidR="001C16C9" w:rsidRPr="00AA2E79">
              <w:rPr>
                <w:rFonts w:ascii="Arial" w:hAnsi="Arial"/>
                <w:sz w:val="20"/>
                <w:szCs w:val="20"/>
              </w:rPr>
              <w:t>Centro</w:t>
            </w:r>
            <w:r w:rsidR="00FB441D">
              <w:rPr>
                <w:rFonts w:ascii="Arial" w:hAnsi="Arial"/>
                <w:sz w:val="20"/>
                <w:szCs w:val="20"/>
              </w:rPr>
              <w:t>s</w:t>
            </w:r>
            <w:r w:rsidR="001C16C9" w:rsidRPr="00AA2E79">
              <w:rPr>
                <w:rFonts w:ascii="Arial" w:hAnsi="Arial"/>
                <w:sz w:val="20"/>
                <w:szCs w:val="20"/>
              </w:rPr>
              <w:t xml:space="preserve"> de Extensión Cultural, Proyección Social y Educación Continua</w:t>
            </w:r>
            <w:r w:rsidR="002F34A2">
              <w:rPr>
                <w:rFonts w:ascii="Arial" w:hAnsi="Arial"/>
                <w:sz w:val="20"/>
                <w:szCs w:val="20"/>
              </w:rPr>
              <w:t>,</w:t>
            </w:r>
            <w:r w:rsidR="001C16C9">
              <w:rPr>
                <w:rFonts w:ascii="Arial" w:hAnsi="Arial"/>
                <w:sz w:val="20"/>
                <w:szCs w:val="20"/>
              </w:rPr>
              <w:t xml:space="preserve"> la cual </w:t>
            </w:r>
            <w:r w:rsidRPr="00AA771A">
              <w:rPr>
                <w:rFonts w:ascii="Arial" w:hAnsi="Arial"/>
                <w:sz w:val="20"/>
                <w:szCs w:val="20"/>
              </w:rPr>
              <w:t xml:space="preserve">brinda el </w:t>
            </w:r>
            <w:r w:rsidR="00326B92">
              <w:rPr>
                <w:rFonts w:ascii="Arial" w:hAnsi="Arial"/>
                <w:sz w:val="20"/>
                <w:szCs w:val="20"/>
              </w:rPr>
              <w:t>S</w:t>
            </w:r>
            <w:r w:rsidRPr="00AA771A">
              <w:rPr>
                <w:rFonts w:ascii="Arial" w:hAnsi="Arial"/>
                <w:sz w:val="20"/>
                <w:szCs w:val="20"/>
              </w:rPr>
              <w:t>ervicio de Extensión Cultural, Proyección Social y Educación Continua y, consiguientemente, el cierre</w:t>
            </w:r>
            <w:r w:rsidR="00C72BBA">
              <w:rPr>
                <w:rFonts w:ascii="Arial" w:hAnsi="Arial"/>
                <w:sz w:val="20"/>
                <w:szCs w:val="20"/>
              </w:rPr>
              <w:t xml:space="preserve"> de brechas</w:t>
            </w:r>
            <w:r w:rsidRPr="00AA771A">
              <w:rPr>
                <w:rFonts w:ascii="Arial" w:hAnsi="Arial"/>
                <w:sz w:val="20"/>
                <w:szCs w:val="20"/>
              </w:rPr>
              <w:t xml:space="preserve"> está vinculado directamente con la ejecución de inversiones.</w:t>
            </w:r>
          </w:p>
          <w:p w14:paraId="133F6A26" w14:textId="02D7FB71" w:rsidR="001C16C9" w:rsidRDefault="001C16C9" w:rsidP="00AA771A">
            <w:pPr>
              <w:contextualSpacing/>
              <w:jc w:val="both"/>
              <w:rPr>
                <w:rFonts w:ascii="Arial" w:hAnsi="Arial"/>
                <w:sz w:val="20"/>
                <w:szCs w:val="20"/>
              </w:rPr>
            </w:pPr>
          </w:p>
          <w:p w14:paraId="4DCE90FF" w14:textId="555C285E" w:rsidR="001C16C9" w:rsidRDefault="001C16C9" w:rsidP="001C16C9">
            <w:pPr>
              <w:contextualSpacing/>
              <w:jc w:val="both"/>
              <w:rPr>
                <w:rFonts w:ascii="Arial" w:hAnsi="Arial"/>
                <w:sz w:val="20"/>
                <w:szCs w:val="20"/>
              </w:rPr>
            </w:pPr>
            <w:r>
              <w:rPr>
                <w:rFonts w:ascii="Arial" w:hAnsi="Arial"/>
                <w:sz w:val="20"/>
                <w:szCs w:val="20"/>
              </w:rPr>
              <w:t xml:space="preserve">Dado que los </w:t>
            </w:r>
            <w:r w:rsidRPr="00AA2E79">
              <w:rPr>
                <w:rFonts w:ascii="Arial" w:hAnsi="Arial"/>
                <w:sz w:val="20"/>
                <w:szCs w:val="20"/>
              </w:rPr>
              <w:t>Centro de Extensión Cultural, Proyección Social y Educación Continua</w:t>
            </w:r>
            <w:r w:rsidR="002F34A2">
              <w:rPr>
                <w:rFonts w:ascii="Arial" w:hAnsi="Arial"/>
                <w:sz w:val="20"/>
                <w:szCs w:val="20"/>
              </w:rPr>
              <w:t>,</w:t>
            </w:r>
            <w:r>
              <w:rPr>
                <w:rFonts w:ascii="Arial" w:hAnsi="Arial"/>
                <w:sz w:val="20"/>
                <w:szCs w:val="20"/>
              </w:rPr>
              <w:t xml:space="preserve"> es una de las unidades de intervención de una inversión, la reducción del indicador tiene una relación directa con la ejecución de inversiones.</w:t>
            </w:r>
          </w:p>
          <w:p w14:paraId="089D5D8F" w14:textId="77777777" w:rsidR="001C16C9" w:rsidRDefault="001C16C9" w:rsidP="001C16C9">
            <w:pPr>
              <w:contextualSpacing/>
              <w:jc w:val="both"/>
              <w:rPr>
                <w:rFonts w:ascii="Arial" w:hAnsi="Arial"/>
                <w:sz w:val="20"/>
                <w:szCs w:val="20"/>
              </w:rPr>
            </w:pPr>
          </w:p>
          <w:p w14:paraId="181ADF0A" w14:textId="4548E117" w:rsidR="001C16C9" w:rsidRDefault="001C16C9" w:rsidP="001C16C9">
            <w:pPr>
              <w:contextualSpacing/>
              <w:jc w:val="both"/>
              <w:rPr>
                <w:rFonts w:ascii="Arial" w:hAnsi="Arial"/>
                <w:sz w:val="20"/>
                <w:szCs w:val="20"/>
              </w:rPr>
            </w:pPr>
            <w:r>
              <w:rPr>
                <w:rFonts w:ascii="Arial" w:hAnsi="Arial"/>
                <w:sz w:val="20"/>
                <w:szCs w:val="20"/>
                <w:lang w:val="es-MX"/>
              </w:rPr>
              <w:t xml:space="preserve">El presente indicador, cumple con los criterios mínimos para asegurar la calidad y pertinencia de un indicador, dado que es simple, fácil de elaborar y medir. El indicador es específico, ya que es explícito respecto al objetivo que se desea medir, permitiendo verificar si el resultado se ha cumplido. Es medible, ya que puede ser cuantificable mediante la aplicación de la sintaxis y las fuentes de datos. Es apropiado, ya que a la fecha es el único indicador que mide la brecha de calidad del </w:t>
            </w:r>
            <w:r w:rsidR="00326B92">
              <w:rPr>
                <w:rFonts w:ascii="Arial" w:hAnsi="Arial"/>
                <w:sz w:val="20"/>
                <w:szCs w:val="20"/>
              </w:rPr>
              <w:t>S</w:t>
            </w:r>
            <w:r w:rsidR="00326B92" w:rsidRPr="00AA771A">
              <w:rPr>
                <w:rFonts w:ascii="Arial" w:hAnsi="Arial"/>
                <w:sz w:val="20"/>
                <w:szCs w:val="20"/>
              </w:rPr>
              <w:t>ervicio de Extensión Cultural, Proyección Social y Educación Continua</w:t>
            </w:r>
            <w:r w:rsidR="00326B92">
              <w:rPr>
                <w:rFonts w:ascii="Arial" w:hAnsi="Arial"/>
                <w:sz w:val="20"/>
                <w:szCs w:val="20"/>
              </w:rPr>
              <w:t xml:space="preserve"> en Educación Superior Universitaria</w:t>
            </w:r>
            <w:r>
              <w:rPr>
                <w:rFonts w:ascii="Arial" w:hAnsi="Arial"/>
                <w:sz w:val="20"/>
                <w:szCs w:val="20"/>
                <w:lang w:val="es-MX"/>
              </w:rPr>
              <w:t xml:space="preserve"> en el marco del SNPMGI. Es realista, ya que es posible medir el indicador con los recursos disponibles y la experiencia técnica de la entidad. Finalmente, el indicador es temporal, ya que dentro de la ficha se especifica la frecuencia o periodicidad de medición del indicador, la cual está sujeta a la disponibilidad de la información y a los objetivos del indicador.</w:t>
            </w:r>
          </w:p>
          <w:p w14:paraId="7D76E9E9" w14:textId="5CF90B53" w:rsidR="002C6B38" w:rsidRPr="00AA771A" w:rsidRDefault="002C6B38" w:rsidP="002C6B38">
            <w:pPr>
              <w:rPr>
                <w:rFonts w:ascii="Arial" w:hAnsi="Arial" w:cs="Arial"/>
                <w:b/>
                <w:szCs w:val="20"/>
              </w:rPr>
            </w:pPr>
          </w:p>
        </w:tc>
      </w:tr>
      <w:tr w:rsidR="00AA771A" w:rsidRPr="00AA771A" w14:paraId="2915C75B" w14:textId="77777777" w:rsidTr="009F6EE7">
        <w:trPr>
          <w:trHeight w:val="241"/>
        </w:trPr>
        <w:tc>
          <w:tcPr>
            <w:tcW w:w="9500" w:type="dxa"/>
            <w:gridSpan w:val="7"/>
            <w:tcBorders>
              <w:top w:val="single" w:sz="4" w:space="0" w:color="auto"/>
              <w:left w:val="single" w:sz="4" w:space="0" w:color="auto"/>
              <w:right w:val="single" w:sz="4" w:space="0" w:color="auto"/>
            </w:tcBorders>
            <w:shd w:val="clear" w:color="auto" w:fill="auto"/>
            <w:vAlign w:val="center"/>
          </w:tcPr>
          <w:p w14:paraId="364C52EB" w14:textId="7FDE5134" w:rsidR="002C6B38" w:rsidRPr="00AA771A" w:rsidRDefault="002C6B38" w:rsidP="002C6B38">
            <w:pPr>
              <w:rPr>
                <w:rFonts w:ascii="Arial" w:hAnsi="Arial" w:cs="Arial"/>
                <w:b/>
                <w:szCs w:val="20"/>
              </w:rPr>
            </w:pPr>
            <w:r w:rsidRPr="00AA771A">
              <w:rPr>
                <w:rFonts w:ascii="Arial" w:hAnsi="Arial" w:cs="Arial"/>
                <w:b/>
                <w:szCs w:val="20"/>
              </w:rPr>
              <w:t>Método de Cálculo</w:t>
            </w:r>
          </w:p>
        </w:tc>
      </w:tr>
      <w:tr w:rsidR="00E15B1F" w:rsidRPr="004C23D9" w14:paraId="4DEBCCAC" w14:textId="77777777" w:rsidTr="00A429E7">
        <w:trPr>
          <w:trHeight w:val="165"/>
        </w:trPr>
        <w:tc>
          <w:tcPr>
            <w:tcW w:w="9500" w:type="dxa"/>
            <w:gridSpan w:val="7"/>
            <w:tcBorders>
              <w:top w:val="single" w:sz="4" w:space="0" w:color="auto"/>
              <w:left w:val="single" w:sz="4" w:space="0" w:color="auto"/>
              <w:right w:val="single" w:sz="4" w:space="0" w:color="auto"/>
            </w:tcBorders>
            <w:vAlign w:val="center"/>
          </w:tcPr>
          <w:p w14:paraId="185B7541" w14:textId="77777777" w:rsidR="00E15B1F" w:rsidRPr="00782760" w:rsidRDefault="00E15B1F" w:rsidP="002C6B38">
            <w:pPr>
              <w:rPr>
                <w:rFonts w:ascii="Arial" w:hAnsi="Arial" w:cs="Arial"/>
                <w:sz w:val="18"/>
                <w:szCs w:val="20"/>
                <w:lang w:val="en-US"/>
              </w:rPr>
            </w:pPr>
          </w:p>
          <w:p w14:paraId="180A884E" w14:textId="70D01F6E" w:rsidR="00E15B1F" w:rsidRPr="00E15B1F" w:rsidRDefault="00000000" w:rsidP="00E15B1F">
            <w:pPr>
              <w:rPr>
                <w:rFonts w:ascii="Arial" w:eastAsiaTheme="minorEastAsia" w:hAnsi="Arial" w:cs="Arial"/>
                <w:lang w:val="en-US"/>
              </w:rPr>
            </w:pPr>
            <m:oMathPara>
              <m:oMath>
                <m:sSub>
                  <m:sSubPr>
                    <m:ctrlPr>
                      <w:rPr>
                        <w:rFonts w:ascii="Cambria Math" w:hAnsi="Cambria Math" w:cs="Arial"/>
                        <w:b/>
                        <w:bCs/>
                        <w:i/>
                      </w:rPr>
                    </m:ctrlPr>
                  </m:sSubPr>
                  <m:e>
                    <m:r>
                      <m:rPr>
                        <m:sty m:val="b"/>
                      </m:rPr>
                      <w:rPr>
                        <w:rFonts w:ascii="Cambria Math" w:hAnsi="Cambria Math" w:cs="Arial"/>
                        <w:lang w:val="en-US"/>
                      </w:rPr>
                      <m:t>PCI</m:t>
                    </m:r>
                  </m:e>
                  <m:sub>
                    <m:r>
                      <m:rPr>
                        <m:nor/>
                      </m:rPr>
                      <w:rPr>
                        <w:rFonts w:ascii="Arial" w:hAnsi="Arial" w:cs="Arial"/>
                        <w:b/>
                        <w:bCs/>
                        <w:lang w:val="fr-FR"/>
                      </w:rPr>
                      <m:t>t</m:t>
                    </m:r>
                  </m:sub>
                </m:sSub>
                <m:r>
                  <w:rPr>
                    <w:rStyle w:val="Refdenotaalpie"/>
                    <w:rFonts w:ascii="Cambria Math" w:hAnsi="Cambria Math"/>
                    <w:i/>
                  </w:rPr>
                  <w:footnoteReference w:id="2"/>
                </m:r>
                <m:r>
                  <m:rPr>
                    <m:sty m:val="b"/>
                  </m:rPr>
                  <w:rPr>
                    <w:rFonts w:ascii="Cambria Math" w:hAnsi="Cambria Math"/>
                    <w:lang w:val="en-US"/>
                  </w:rPr>
                  <m:t>=</m:t>
                </m:r>
                <m:r>
                  <m:rPr>
                    <m:sty m:val="b"/>
                  </m:rPr>
                  <w:rPr>
                    <w:rFonts w:ascii="Cambria Math" w:hAnsi="Cambria Math"/>
                  </w:rPr>
                  <m:t>IB</m:t>
                </m:r>
                <m:r>
                  <w:rPr>
                    <w:rStyle w:val="Refdenotaalpie"/>
                    <w:rFonts w:ascii="Cambria Math" w:hAnsi="Cambria Math"/>
                    <w:i/>
                  </w:rPr>
                  <w:footnoteReference w:id="3"/>
                </m:r>
                <m:r>
                  <w:rPr>
                    <w:rFonts w:ascii="Cambria Math" w:eastAsiaTheme="minorEastAsia" w:hAnsi="Cambria Math" w:cs="Arial"/>
                    <w:lang w:val="en-US"/>
                  </w:rPr>
                  <m:t>=</m:t>
                </m:r>
                <m:d>
                  <m:dPr>
                    <m:ctrlPr>
                      <w:rPr>
                        <w:rFonts w:ascii="Cambria Math" w:eastAsiaTheme="minorEastAsia" w:hAnsi="Cambria Math" w:cs="Arial"/>
                      </w:rPr>
                    </m:ctrlPr>
                  </m:dPr>
                  <m:e>
                    <m:r>
                      <w:rPr>
                        <w:rFonts w:ascii="Cambria Math" w:eastAsiaTheme="minorEastAsia" w:hAnsi="Cambria Math" w:cs="Arial"/>
                        <w:lang w:val="en-US"/>
                      </w:rPr>
                      <m:t>1-</m:t>
                    </m:r>
                    <m:f>
                      <m:fPr>
                        <m:ctrlPr>
                          <w:rPr>
                            <w:rFonts w:ascii="Cambria Math" w:eastAsiaTheme="minorEastAsia" w:hAnsi="Cambria Math" w:cs="Arial"/>
                          </w:rPr>
                        </m:ctrlPr>
                      </m:fPr>
                      <m:num>
                        <m:r>
                          <w:rPr>
                            <w:rFonts w:ascii="Cambria Math" w:eastAsiaTheme="minorEastAsia" w:hAnsi="Cambria Math" w:cs="Arial"/>
                          </w:rPr>
                          <m:t>Implementado</m:t>
                        </m:r>
                      </m:num>
                      <m:den>
                        <m:r>
                          <w:rPr>
                            <w:rFonts w:ascii="Cambria Math" w:eastAsiaTheme="minorEastAsia" w:hAnsi="Cambria Math" w:cs="Arial"/>
                          </w:rPr>
                          <m:t>Demandado</m:t>
                        </m:r>
                      </m:den>
                    </m:f>
                  </m:e>
                </m:d>
                <m:r>
                  <w:rPr>
                    <w:rFonts w:ascii="Cambria Math" w:eastAsiaTheme="minorEastAsia" w:hAnsi="Cambria Math" w:cs="Arial"/>
                    <w:lang w:val="en-US"/>
                  </w:rPr>
                  <m:t>× 100 %=</m:t>
                </m:r>
              </m:oMath>
            </m:oMathPara>
          </w:p>
          <w:p w14:paraId="32129EAD" w14:textId="77777777" w:rsidR="00E15B1F" w:rsidRDefault="00E15B1F" w:rsidP="002C6B38">
            <w:pPr>
              <w:rPr>
                <w:rFonts w:ascii="Arial" w:hAnsi="Arial" w:cs="Arial"/>
                <w:sz w:val="18"/>
                <w:szCs w:val="20"/>
                <w:lang w:val="en-US"/>
              </w:rPr>
            </w:pPr>
          </w:p>
          <w:p w14:paraId="151B2875" w14:textId="77777777" w:rsidR="00E15B1F" w:rsidRPr="00782760" w:rsidRDefault="00E15B1F" w:rsidP="002C6B38">
            <w:pPr>
              <w:rPr>
                <w:rFonts w:ascii="Arial" w:hAnsi="Arial" w:cs="Arial"/>
                <w:sz w:val="18"/>
                <w:szCs w:val="20"/>
                <w:lang w:val="en-US"/>
              </w:rPr>
            </w:pPr>
          </w:p>
        </w:tc>
      </w:tr>
      <w:tr w:rsidR="00AA771A" w:rsidRPr="00AA771A" w14:paraId="6B5C1D44" w14:textId="29EA102C" w:rsidTr="00966297">
        <w:trPr>
          <w:trHeight w:val="255"/>
        </w:trPr>
        <w:tc>
          <w:tcPr>
            <w:tcW w:w="3444" w:type="dxa"/>
            <w:tcBorders>
              <w:left w:val="single" w:sz="4" w:space="0" w:color="auto"/>
            </w:tcBorders>
            <w:vAlign w:val="center"/>
          </w:tcPr>
          <w:p w14:paraId="07716DD5" w14:textId="2BD341FA" w:rsidR="002C6B38" w:rsidRPr="00AA771A" w:rsidRDefault="002C6B38" w:rsidP="002C6B38">
            <w:pPr>
              <w:rPr>
                <w:rFonts w:ascii="Arial" w:hAnsi="Arial" w:cs="Arial"/>
                <w:sz w:val="18"/>
                <w:szCs w:val="20"/>
              </w:rPr>
            </w:pPr>
            <w:r w:rsidRPr="00AA771A">
              <w:rPr>
                <w:rFonts w:ascii="Arial" w:hAnsi="Arial" w:cs="Arial"/>
                <w:sz w:val="18"/>
                <w:szCs w:val="20"/>
              </w:rPr>
              <w:t>Donde:</w:t>
            </w:r>
          </w:p>
        </w:tc>
        <w:tc>
          <w:tcPr>
            <w:tcW w:w="698" w:type="dxa"/>
            <w:vAlign w:val="center"/>
          </w:tcPr>
          <w:p w14:paraId="258F2A4B" w14:textId="7B8B66DF" w:rsidR="002C6B38" w:rsidRPr="00AA771A" w:rsidRDefault="002C6B38" w:rsidP="002C6B38">
            <w:pPr>
              <w:rPr>
                <w:rFonts w:ascii="Arial" w:hAnsi="Arial" w:cs="Arial"/>
                <w:sz w:val="18"/>
                <w:szCs w:val="20"/>
              </w:rPr>
            </w:pPr>
          </w:p>
        </w:tc>
        <w:tc>
          <w:tcPr>
            <w:tcW w:w="693" w:type="dxa"/>
            <w:tcBorders>
              <w:bottom w:val="single" w:sz="4" w:space="0" w:color="auto"/>
            </w:tcBorders>
            <w:vAlign w:val="center"/>
          </w:tcPr>
          <w:p w14:paraId="005655A5" w14:textId="29F8B727" w:rsidR="002C6B38" w:rsidRPr="00AA771A" w:rsidRDefault="002C6B38" w:rsidP="002C6B38">
            <w:pPr>
              <w:rPr>
                <w:rFonts w:ascii="Arial" w:hAnsi="Arial" w:cs="Arial"/>
                <w:sz w:val="18"/>
                <w:szCs w:val="20"/>
              </w:rPr>
            </w:pPr>
          </w:p>
        </w:tc>
        <w:tc>
          <w:tcPr>
            <w:tcW w:w="2071" w:type="dxa"/>
            <w:tcBorders>
              <w:bottom w:val="single" w:sz="4" w:space="0" w:color="auto"/>
            </w:tcBorders>
            <w:vAlign w:val="center"/>
          </w:tcPr>
          <w:p w14:paraId="6E28B62D" w14:textId="28EA42F0" w:rsidR="002C6B38" w:rsidRPr="00AA771A" w:rsidRDefault="002C6B38" w:rsidP="002C6B38">
            <w:pPr>
              <w:rPr>
                <w:rFonts w:ascii="Arial" w:hAnsi="Arial" w:cs="Arial"/>
                <w:sz w:val="18"/>
                <w:szCs w:val="20"/>
              </w:rPr>
            </w:pPr>
          </w:p>
        </w:tc>
        <w:tc>
          <w:tcPr>
            <w:tcW w:w="1102" w:type="dxa"/>
            <w:tcBorders>
              <w:bottom w:val="single" w:sz="4" w:space="0" w:color="auto"/>
            </w:tcBorders>
            <w:vAlign w:val="center"/>
          </w:tcPr>
          <w:p w14:paraId="33ABBBFE" w14:textId="1A28FFC9" w:rsidR="002C6B38" w:rsidRPr="00AA771A" w:rsidRDefault="002C6B38" w:rsidP="002C6B38">
            <w:pPr>
              <w:rPr>
                <w:rFonts w:ascii="Arial" w:hAnsi="Arial" w:cs="Arial"/>
                <w:sz w:val="18"/>
                <w:szCs w:val="20"/>
              </w:rPr>
            </w:pPr>
          </w:p>
        </w:tc>
        <w:tc>
          <w:tcPr>
            <w:tcW w:w="800" w:type="dxa"/>
            <w:tcBorders>
              <w:bottom w:val="single" w:sz="4" w:space="0" w:color="auto"/>
            </w:tcBorders>
            <w:vAlign w:val="center"/>
          </w:tcPr>
          <w:p w14:paraId="11774132" w14:textId="059C72D4" w:rsidR="002C6B38" w:rsidRPr="00AA771A" w:rsidRDefault="002C6B38" w:rsidP="002C6B38">
            <w:pPr>
              <w:rPr>
                <w:rFonts w:ascii="Arial" w:hAnsi="Arial" w:cs="Arial"/>
                <w:sz w:val="18"/>
                <w:szCs w:val="20"/>
              </w:rPr>
            </w:pPr>
          </w:p>
        </w:tc>
        <w:tc>
          <w:tcPr>
            <w:tcW w:w="692" w:type="dxa"/>
            <w:tcBorders>
              <w:right w:val="single" w:sz="4" w:space="0" w:color="auto"/>
            </w:tcBorders>
            <w:vAlign w:val="center"/>
          </w:tcPr>
          <w:p w14:paraId="137B2CC6" w14:textId="2CBCDC39" w:rsidR="002C6B38" w:rsidRPr="00AA771A" w:rsidRDefault="002C6B38" w:rsidP="002C6B38">
            <w:pPr>
              <w:rPr>
                <w:rFonts w:ascii="Arial" w:hAnsi="Arial" w:cs="Arial"/>
                <w:sz w:val="18"/>
                <w:szCs w:val="20"/>
              </w:rPr>
            </w:pPr>
          </w:p>
        </w:tc>
      </w:tr>
      <w:tr w:rsidR="00AA771A" w:rsidRPr="00AA771A" w14:paraId="47FDDA09" w14:textId="0C401BB7" w:rsidTr="001D5D9B">
        <w:trPr>
          <w:trHeight w:val="568"/>
        </w:trPr>
        <w:tc>
          <w:tcPr>
            <w:tcW w:w="3444" w:type="dxa"/>
            <w:tcBorders>
              <w:left w:val="single" w:sz="4" w:space="0" w:color="auto"/>
            </w:tcBorders>
            <w:vAlign w:val="center"/>
          </w:tcPr>
          <w:p w14:paraId="4BF3D8E8" w14:textId="5898ED1E" w:rsidR="002C6B38" w:rsidRPr="00AA771A" w:rsidRDefault="002C6B38" w:rsidP="002C6B38">
            <w:pPr>
              <w:jc w:val="right"/>
              <w:rPr>
                <w:rFonts w:ascii="Arial" w:hAnsi="Arial" w:cs="Arial"/>
                <w:sz w:val="18"/>
                <w:szCs w:val="20"/>
              </w:rPr>
            </w:pPr>
            <w:r w:rsidRPr="00AA771A">
              <w:rPr>
                <w:rFonts w:ascii="Arial" w:hAnsi="Arial" w:cs="Arial"/>
                <w:sz w:val="18"/>
                <w:szCs w:val="20"/>
              </w:rPr>
              <w:t>Demandado</w:t>
            </w:r>
          </w:p>
        </w:tc>
        <w:tc>
          <w:tcPr>
            <w:tcW w:w="698" w:type="dxa"/>
            <w:tcBorders>
              <w:right w:val="single" w:sz="4" w:space="0" w:color="auto"/>
            </w:tcBorders>
            <w:vAlign w:val="center"/>
          </w:tcPr>
          <w:p w14:paraId="64D52C72" w14:textId="78168610" w:rsidR="002C6B38" w:rsidRPr="00AA771A" w:rsidRDefault="002C6B38" w:rsidP="002C6B38">
            <w:pPr>
              <w:jc w:val="center"/>
              <w:rPr>
                <w:rFonts w:ascii="Arial" w:hAnsi="Arial" w:cs="Arial"/>
                <w:sz w:val="18"/>
                <w:szCs w:val="20"/>
              </w:rPr>
            </w:pPr>
            <w:r w:rsidRPr="00AA771A">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63C7C1CB" w14:textId="36A537D3" w:rsidR="002C6B38" w:rsidRPr="00AA771A" w:rsidRDefault="00000000" w:rsidP="002C6B38">
            <w:pPr>
              <w:rPr>
                <w:rFonts w:ascii="Arial" w:hAnsi="Arial" w:cs="Arial"/>
                <w:sz w:val="18"/>
                <w:szCs w:val="20"/>
              </w:rPr>
            </w:pPr>
            <m:oMath>
              <m:sSub>
                <m:sSubPr>
                  <m:ctrlPr>
                    <w:rPr>
                      <w:rFonts w:ascii="Cambria Math" w:hAnsi="Cambria Math"/>
                      <w:i/>
                      <w:sz w:val="24"/>
                      <w:szCs w:val="24"/>
                    </w:rPr>
                  </m:ctrlPr>
                </m:sSubPr>
                <m:e>
                  <m:r>
                    <w:rPr>
                      <w:rFonts w:ascii="Cambria Math" w:hAnsi="Cambria Math"/>
                      <w:sz w:val="24"/>
                      <w:szCs w:val="24"/>
                    </w:rPr>
                    <m:t>CTC</m:t>
                  </m:r>
                </m:e>
                <m:sub>
                  <m:r>
                    <w:rPr>
                      <w:rFonts w:ascii="Cambria Math" w:hAnsi="Cambria Math"/>
                      <w:sz w:val="24"/>
                      <w:szCs w:val="24"/>
                    </w:rPr>
                    <m:t>t</m:t>
                  </m:r>
                </m:sub>
              </m:sSub>
            </m:oMath>
            <w:r w:rsidR="00204BC9">
              <w:rPr>
                <w:rFonts w:ascii="Arial" w:eastAsiaTheme="minorEastAsia" w:hAnsi="Arial" w:cs="Arial"/>
                <w:sz w:val="24"/>
                <w:szCs w:val="24"/>
              </w:rPr>
              <w:t xml:space="preserve">: </w:t>
            </w:r>
            <w:r w:rsidR="00204BC9" w:rsidRPr="00782760">
              <w:rPr>
                <w:rFonts w:ascii="Arial" w:hAnsi="Arial"/>
                <w:sz w:val="18"/>
                <w:szCs w:val="18"/>
              </w:rPr>
              <w:t>Cantidad total de Centros de Extensión Cultural, Proyección Social y Educación Continua en las universidades públicas en el tiempo t.</w:t>
            </w:r>
          </w:p>
        </w:tc>
        <w:tc>
          <w:tcPr>
            <w:tcW w:w="692" w:type="dxa"/>
            <w:tcBorders>
              <w:left w:val="single" w:sz="4" w:space="0" w:color="auto"/>
              <w:right w:val="single" w:sz="4" w:space="0" w:color="auto"/>
            </w:tcBorders>
            <w:vAlign w:val="center"/>
          </w:tcPr>
          <w:p w14:paraId="1273E212" w14:textId="77777777" w:rsidR="002C6B38" w:rsidRPr="00AA771A" w:rsidRDefault="002C6B38" w:rsidP="002C6B38">
            <w:pPr>
              <w:rPr>
                <w:rFonts w:ascii="Arial" w:hAnsi="Arial" w:cs="Arial"/>
                <w:sz w:val="18"/>
                <w:szCs w:val="20"/>
              </w:rPr>
            </w:pPr>
          </w:p>
        </w:tc>
      </w:tr>
      <w:tr w:rsidR="00AA771A" w:rsidRPr="00AA771A" w14:paraId="39D30842" w14:textId="092753BF" w:rsidTr="00791B39">
        <w:trPr>
          <w:trHeight w:val="160"/>
        </w:trPr>
        <w:tc>
          <w:tcPr>
            <w:tcW w:w="9500" w:type="dxa"/>
            <w:gridSpan w:val="7"/>
            <w:tcBorders>
              <w:left w:val="single" w:sz="4" w:space="0" w:color="auto"/>
              <w:right w:val="single" w:sz="4" w:space="0" w:color="auto"/>
            </w:tcBorders>
            <w:vAlign w:val="center"/>
          </w:tcPr>
          <w:p w14:paraId="44C48A46" w14:textId="77777777" w:rsidR="002C6B38" w:rsidRPr="00AA771A" w:rsidRDefault="002C6B38" w:rsidP="002C6B38">
            <w:pPr>
              <w:rPr>
                <w:rFonts w:ascii="Arial" w:hAnsi="Arial" w:cs="Arial"/>
                <w:sz w:val="18"/>
                <w:szCs w:val="20"/>
              </w:rPr>
            </w:pPr>
          </w:p>
        </w:tc>
      </w:tr>
      <w:tr w:rsidR="00AA771A" w:rsidRPr="00AA771A" w14:paraId="0444C1B3" w14:textId="146F9E5D" w:rsidTr="002C6B38">
        <w:trPr>
          <w:trHeight w:val="593"/>
        </w:trPr>
        <w:tc>
          <w:tcPr>
            <w:tcW w:w="3444" w:type="dxa"/>
            <w:tcBorders>
              <w:left w:val="single" w:sz="4" w:space="0" w:color="auto"/>
              <w:bottom w:val="single" w:sz="4" w:space="0" w:color="auto"/>
            </w:tcBorders>
            <w:vAlign w:val="center"/>
          </w:tcPr>
          <w:p w14:paraId="18557181" w14:textId="7C9E8F22" w:rsidR="002C6B38" w:rsidRPr="00AA771A" w:rsidRDefault="002C6B38" w:rsidP="002C6B38">
            <w:pPr>
              <w:jc w:val="right"/>
              <w:rPr>
                <w:rFonts w:ascii="Arial" w:hAnsi="Arial" w:cs="Arial"/>
                <w:sz w:val="18"/>
                <w:szCs w:val="20"/>
              </w:rPr>
            </w:pPr>
            <w:r w:rsidRPr="00AA771A">
              <w:rPr>
                <w:rFonts w:ascii="Arial" w:hAnsi="Arial" w:cs="Arial"/>
                <w:sz w:val="18"/>
                <w:szCs w:val="20"/>
              </w:rPr>
              <w:t>Implementa</w:t>
            </w:r>
            <w:r w:rsidR="00AD7B5E">
              <w:rPr>
                <w:rFonts w:ascii="Arial" w:hAnsi="Arial" w:cs="Arial"/>
                <w:sz w:val="18"/>
                <w:szCs w:val="20"/>
              </w:rPr>
              <w:t>do</w:t>
            </w:r>
          </w:p>
        </w:tc>
        <w:tc>
          <w:tcPr>
            <w:tcW w:w="698" w:type="dxa"/>
            <w:tcBorders>
              <w:bottom w:val="single" w:sz="4" w:space="0" w:color="auto"/>
              <w:right w:val="single" w:sz="4" w:space="0" w:color="auto"/>
            </w:tcBorders>
            <w:vAlign w:val="center"/>
          </w:tcPr>
          <w:p w14:paraId="20F01258" w14:textId="1321F9DE" w:rsidR="002C6B38" w:rsidRPr="00AA771A" w:rsidRDefault="002C6B38" w:rsidP="002C6B38">
            <w:pPr>
              <w:jc w:val="center"/>
              <w:rPr>
                <w:rFonts w:ascii="Arial" w:hAnsi="Arial" w:cs="Arial"/>
                <w:sz w:val="18"/>
                <w:szCs w:val="20"/>
              </w:rPr>
            </w:pPr>
            <w:r w:rsidRPr="00AA771A">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3752E493" w14:textId="3A5E8C6F" w:rsidR="002C6B38" w:rsidRPr="00AA771A" w:rsidRDefault="00000000" w:rsidP="002C6B38">
            <w:pPr>
              <w:rPr>
                <w:rFonts w:ascii="Arial" w:hAnsi="Arial" w:cs="Arial"/>
                <w:sz w:val="18"/>
                <w:szCs w:val="20"/>
              </w:rPr>
            </w:pPr>
            <m:oMath>
              <m:sSub>
                <m:sSubPr>
                  <m:ctrlPr>
                    <w:rPr>
                      <w:rFonts w:ascii="Cambria Math" w:hAnsi="Cambria Math"/>
                      <w:i/>
                      <w:sz w:val="24"/>
                      <w:szCs w:val="24"/>
                    </w:rPr>
                  </m:ctrlPr>
                </m:sSubPr>
                <m:e>
                  <m:r>
                    <w:rPr>
                      <w:rFonts w:ascii="Cambria Math" w:hAnsi="Cambria Math"/>
                      <w:sz w:val="24"/>
                      <w:szCs w:val="24"/>
                    </w:rPr>
                    <m:t>CTCA</m:t>
                  </m:r>
                </m:e>
                <m:sub>
                  <m:r>
                    <w:rPr>
                      <w:rFonts w:ascii="Cambria Math" w:hAnsi="Cambria Math"/>
                      <w:sz w:val="24"/>
                      <w:szCs w:val="24"/>
                    </w:rPr>
                    <m:t>t</m:t>
                  </m:r>
                </m:sub>
              </m:sSub>
            </m:oMath>
            <w:r w:rsidR="00204BC9">
              <w:rPr>
                <w:rFonts w:ascii="Arial" w:eastAsiaTheme="minorEastAsia" w:hAnsi="Arial" w:cs="Arial"/>
                <w:sz w:val="24"/>
                <w:szCs w:val="24"/>
              </w:rPr>
              <w:t xml:space="preserve">: </w:t>
            </w:r>
            <w:r w:rsidR="00204BC9" w:rsidRPr="00782760">
              <w:rPr>
                <w:rFonts w:ascii="Arial" w:hAnsi="Arial"/>
                <w:sz w:val="18"/>
                <w:szCs w:val="18"/>
              </w:rPr>
              <w:t>Cantidad total de Centros de Extensión Cultural, Proyección Social y Educación Continua</w:t>
            </w:r>
            <w:r w:rsidR="00204BC9" w:rsidRPr="00AA771A">
              <w:rPr>
                <w:rFonts w:ascii="Arial" w:hAnsi="Arial"/>
                <w:sz w:val="20"/>
                <w:szCs w:val="20"/>
              </w:rPr>
              <w:t xml:space="preserve"> </w:t>
            </w:r>
            <w:r w:rsidR="00204BC9" w:rsidRPr="00782760">
              <w:rPr>
                <w:rFonts w:ascii="Arial" w:hAnsi="Arial"/>
                <w:sz w:val="18"/>
                <w:szCs w:val="18"/>
              </w:rPr>
              <w:t xml:space="preserve">en </w:t>
            </w:r>
            <w:r w:rsidR="00204BC9" w:rsidRPr="00782760">
              <w:rPr>
                <w:rFonts w:ascii="Arial" w:hAnsi="Arial"/>
                <w:sz w:val="18"/>
                <w:szCs w:val="18"/>
              </w:rPr>
              <w:lastRenderedPageBreak/>
              <w:t>las universidades públicas en estado situacional inadecuado en el tiempo t.</w:t>
            </w:r>
          </w:p>
        </w:tc>
        <w:tc>
          <w:tcPr>
            <w:tcW w:w="692" w:type="dxa"/>
            <w:tcBorders>
              <w:left w:val="single" w:sz="4" w:space="0" w:color="auto"/>
              <w:bottom w:val="single" w:sz="4" w:space="0" w:color="auto"/>
              <w:right w:val="single" w:sz="4" w:space="0" w:color="auto"/>
            </w:tcBorders>
            <w:vAlign w:val="center"/>
          </w:tcPr>
          <w:p w14:paraId="21ACDE04" w14:textId="77777777" w:rsidR="002C6B38" w:rsidRPr="00AA771A" w:rsidRDefault="002C6B38" w:rsidP="002C6B38">
            <w:pPr>
              <w:rPr>
                <w:rFonts w:ascii="Arial" w:hAnsi="Arial" w:cs="Arial"/>
                <w:sz w:val="18"/>
                <w:szCs w:val="20"/>
              </w:rPr>
            </w:pPr>
          </w:p>
          <w:p w14:paraId="7FCDFD31" w14:textId="77777777" w:rsidR="00246044" w:rsidRPr="00AA771A" w:rsidRDefault="00246044" w:rsidP="002C6B38">
            <w:pPr>
              <w:rPr>
                <w:rFonts w:ascii="Arial" w:hAnsi="Arial" w:cs="Arial"/>
                <w:sz w:val="18"/>
                <w:szCs w:val="20"/>
              </w:rPr>
            </w:pPr>
          </w:p>
          <w:p w14:paraId="191B0FC8" w14:textId="77777777" w:rsidR="00246044" w:rsidRPr="00AA771A" w:rsidRDefault="00246044" w:rsidP="002C6B38">
            <w:pPr>
              <w:rPr>
                <w:rFonts w:ascii="Arial" w:hAnsi="Arial" w:cs="Arial"/>
                <w:sz w:val="18"/>
                <w:szCs w:val="20"/>
              </w:rPr>
            </w:pPr>
          </w:p>
        </w:tc>
      </w:tr>
      <w:tr w:rsidR="00AA771A" w:rsidRPr="00AA771A" w14:paraId="730684A9" w14:textId="4CA7E152"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2C6B38" w:rsidRPr="00AA771A" w:rsidRDefault="002C6B38" w:rsidP="002C6B38">
            <w:pPr>
              <w:rPr>
                <w:rFonts w:ascii="Arial" w:hAnsi="Arial" w:cs="Arial"/>
                <w:sz w:val="18"/>
                <w:szCs w:val="20"/>
              </w:rPr>
            </w:pPr>
            <w:r w:rsidRPr="00AA771A">
              <w:rPr>
                <w:rFonts w:ascii="Arial" w:hAnsi="Arial" w:cs="Arial"/>
                <w:b/>
                <w:bCs/>
                <w:szCs w:val="20"/>
              </w:rPr>
              <w:t>Precisiones</w:t>
            </w:r>
            <w:r w:rsidRPr="00AA771A">
              <w:rPr>
                <w:rFonts w:ascii="Arial" w:hAnsi="Arial" w:cs="Arial"/>
                <w:b/>
                <w:bCs/>
                <w:sz w:val="20"/>
                <w:szCs w:val="20"/>
              </w:rPr>
              <w:t xml:space="preserve"> </w:t>
            </w:r>
            <w:r w:rsidRPr="00AA771A">
              <w:rPr>
                <w:rFonts w:ascii="Arial" w:hAnsi="Arial" w:cs="Arial"/>
                <w:b/>
                <w:bCs/>
                <w:szCs w:val="20"/>
              </w:rPr>
              <w:t>Técnicas</w:t>
            </w:r>
          </w:p>
        </w:tc>
      </w:tr>
      <w:tr w:rsidR="00AA771A" w:rsidRPr="00AA771A" w14:paraId="706D69A9"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86B3EA9" w14:textId="41308F7A" w:rsidR="00204BC9" w:rsidRDefault="00204BC9" w:rsidP="00204BC9">
            <w:pPr>
              <w:jc w:val="both"/>
              <w:rPr>
                <w:rFonts w:ascii="Arial" w:hAnsi="Arial"/>
                <w:bCs/>
                <w:sz w:val="20"/>
                <w:szCs w:val="20"/>
              </w:rPr>
            </w:pPr>
          </w:p>
          <w:p w14:paraId="603B471A" w14:textId="1A4B9EFD" w:rsidR="00BB67DB" w:rsidRDefault="00BB67DB" w:rsidP="00BB67DB">
            <w:pPr>
              <w:pStyle w:val="Prrafodelista"/>
              <w:numPr>
                <w:ilvl w:val="0"/>
                <w:numId w:val="32"/>
              </w:numPr>
              <w:spacing w:line="256" w:lineRule="auto"/>
              <w:jc w:val="both"/>
              <w:rPr>
                <w:rFonts w:ascii="Arial" w:hAnsi="Arial"/>
                <w:sz w:val="20"/>
                <w:szCs w:val="20"/>
              </w:rPr>
            </w:pPr>
            <w:r>
              <w:rPr>
                <w:rFonts w:ascii="Arial" w:hAnsi="Arial"/>
                <w:sz w:val="20"/>
                <w:szCs w:val="20"/>
              </w:rPr>
              <w:t xml:space="preserve">La cantidad total de </w:t>
            </w:r>
            <w:r w:rsidRPr="00782760">
              <w:rPr>
                <w:rFonts w:ascii="Arial" w:hAnsi="Arial"/>
                <w:sz w:val="20"/>
                <w:szCs w:val="20"/>
              </w:rPr>
              <w:t>Centros de Extensión Cultural, Proyección Social y Educación Continua</w:t>
            </w:r>
            <w:r>
              <w:rPr>
                <w:rFonts w:ascii="Arial" w:hAnsi="Arial"/>
                <w:sz w:val="20"/>
                <w:szCs w:val="20"/>
              </w:rPr>
              <w:t xml:space="preserve"> que brindan el </w:t>
            </w:r>
            <w:r w:rsidRPr="00782760">
              <w:rPr>
                <w:rFonts w:ascii="Arial" w:hAnsi="Arial"/>
                <w:sz w:val="20"/>
                <w:szCs w:val="20"/>
              </w:rPr>
              <w:t>Servicio de Extensión Cultural, Proyección Social y Educación Continua en Educación Superior Universitaria</w:t>
            </w:r>
            <w:r>
              <w:rPr>
                <w:rFonts w:ascii="Arial" w:hAnsi="Arial"/>
                <w:sz w:val="20"/>
                <w:szCs w:val="20"/>
              </w:rPr>
              <w:t xml:space="preserve"> se calcula de la siguiente forma:</w:t>
            </w:r>
          </w:p>
          <w:p w14:paraId="5D239C44" w14:textId="77777777" w:rsidR="00BB67DB" w:rsidRDefault="00BB67DB" w:rsidP="00BB67DB">
            <w:pPr>
              <w:pStyle w:val="Prrafodelista"/>
              <w:jc w:val="both"/>
              <w:rPr>
                <w:rFonts w:ascii="Arial" w:hAnsi="Arial"/>
                <w:sz w:val="20"/>
                <w:szCs w:val="20"/>
              </w:rPr>
            </w:pPr>
          </w:p>
          <w:p w14:paraId="3A2EC527" w14:textId="6F6F6358" w:rsidR="00BB67DB" w:rsidRDefault="00000000" w:rsidP="00BB67DB">
            <w:pPr>
              <w:pStyle w:val="Prrafodelista"/>
              <w:jc w:val="both"/>
              <w:rPr>
                <w:rFonts w:ascii="Arial" w:hAnsi="Arial"/>
                <w:sz w:val="20"/>
                <w:szCs w:val="20"/>
              </w:rPr>
            </w:pPr>
            <m:oMathPara>
              <m:oMath>
                <m:sSub>
                  <m:sSubPr>
                    <m:ctrlPr>
                      <w:rPr>
                        <w:rFonts w:ascii="Cambria Math" w:hAnsi="Cambria Math"/>
                        <w:b/>
                        <w:bCs/>
                        <w:i/>
                        <w:sz w:val="24"/>
                        <w:szCs w:val="24"/>
                      </w:rPr>
                    </m:ctrlPr>
                  </m:sSubPr>
                  <m:e>
                    <m:r>
                      <m:rPr>
                        <m:sty m:val="bi"/>
                      </m:rPr>
                      <w:rPr>
                        <w:rFonts w:ascii="Cambria Math" w:hAnsi="Cambria Math"/>
                        <w:sz w:val="24"/>
                        <w:szCs w:val="24"/>
                      </w:rPr>
                      <m:t>CTC</m:t>
                    </m:r>
                  </m:e>
                  <m:sub>
                    <m:r>
                      <m:rPr>
                        <m:sty m:val="bi"/>
                      </m:rPr>
                      <w:rPr>
                        <w:rFonts w:ascii="Cambria Math" w:hAnsi="Cambria Math"/>
                        <w:sz w:val="24"/>
                        <w:szCs w:val="24"/>
                      </w:rPr>
                      <m:t>t</m:t>
                    </m:r>
                  </m:sub>
                </m:sSub>
                <m:r>
                  <m:rPr>
                    <m:sty m:val="bi"/>
                  </m:rPr>
                  <w:rPr>
                    <w:rFonts w:ascii="Cambria Math" w:hAnsi="Cambria Math"/>
                    <w:sz w:val="24"/>
                    <w:szCs w:val="24"/>
                  </w:rPr>
                  <m:t xml:space="preserve">= </m:t>
                </m:r>
                <m:sSub>
                  <m:sSubPr>
                    <m:ctrlPr>
                      <w:rPr>
                        <w:rFonts w:ascii="Cambria Math" w:hAnsi="Cambria Math"/>
                        <w:b/>
                        <w:bCs/>
                        <w:i/>
                        <w:sz w:val="24"/>
                        <w:szCs w:val="24"/>
                      </w:rPr>
                    </m:ctrlPr>
                  </m:sSubPr>
                  <m:e>
                    <m:r>
                      <m:rPr>
                        <m:sty m:val="bi"/>
                      </m:rPr>
                      <w:rPr>
                        <w:rFonts w:ascii="Cambria Math" w:hAnsi="Cambria Math"/>
                        <w:sz w:val="24"/>
                        <w:szCs w:val="24"/>
                      </w:rPr>
                      <m:t>CTCA</m:t>
                    </m:r>
                  </m:e>
                  <m:sub>
                    <m:r>
                      <m:rPr>
                        <m:sty m:val="bi"/>
                      </m:rPr>
                      <w:rPr>
                        <w:rFonts w:ascii="Cambria Math" w:hAnsi="Cambria Math"/>
                        <w:sz w:val="24"/>
                        <w:szCs w:val="24"/>
                      </w:rPr>
                      <m:t>t</m:t>
                    </m:r>
                  </m:sub>
                </m:sSub>
                <m:r>
                  <m:rPr>
                    <m:sty m:val="bi"/>
                  </m:rPr>
                  <w:rPr>
                    <w:rFonts w:ascii="Cambria Math" w:hAnsi="Cambria Math"/>
                    <w:sz w:val="24"/>
                    <w:szCs w:val="24"/>
                  </w:rPr>
                  <m:t xml:space="preserve">+ </m:t>
                </m:r>
                <m:sSub>
                  <m:sSubPr>
                    <m:ctrlPr>
                      <w:rPr>
                        <w:rFonts w:ascii="Cambria Math" w:hAnsi="Cambria Math"/>
                        <w:b/>
                        <w:bCs/>
                        <w:i/>
                        <w:sz w:val="24"/>
                        <w:szCs w:val="24"/>
                      </w:rPr>
                    </m:ctrlPr>
                  </m:sSubPr>
                  <m:e>
                    <m:r>
                      <m:rPr>
                        <m:sty m:val="bi"/>
                      </m:rPr>
                      <w:rPr>
                        <w:rFonts w:ascii="Cambria Math" w:hAnsi="Cambria Math"/>
                        <w:sz w:val="24"/>
                        <w:szCs w:val="24"/>
                      </w:rPr>
                      <m:t>CTCI</m:t>
                    </m:r>
                  </m:e>
                  <m:sub>
                    <m:r>
                      <m:rPr>
                        <m:sty m:val="bi"/>
                      </m:rPr>
                      <w:rPr>
                        <w:rFonts w:ascii="Cambria Math" w:hAnsi="Cambria Math"/>
                        <w:sz w:val="24"/>
                        <w:szCs w:val="24"/>
                      </w:rPr>
                      <m:t>t</m:t>
                    </m:r>
                  </m:sub>
                </m:sSub>
              </m:oMath>
            </m:oMathPara>
          </w:p>
          <w:p w14:paraId="2F4E4AF3" w14:textId="77777777" w:rsidR="00BB67DB" w:rsidRDefault="00BB67DB" w:rsidP="00BB67DB">
            <w:pPr>
              <w:rPr>
                <w:rFonts w:ascii="Arial" w:hAnsi="Arial"/>
                <w:bCs/>
                <w:sz w:val="20"/>
                <w:szCs w:val="20"/>
              </w:rPr>
            </w:pPr>
          </w:p>
          <w:p w14:paraId="699E27B0" w14:textId="77777777" w:rsidR="00BB67DB" w:rsidRDefault="00BB67DB" w:rsidP="00BB67DB">
            <w:pPr>
              <w:rPr>
                <w:rFonts w:ascii="Arial" w:hAnsi="Arial"/>
                <w:bCs/>
                <w:sz w:val="20"/>
                <w:szCs w:val="20"/>
              </w:rPr>
            </w:pPr>
          </w:p>
          <w:p w14:paraId="73657BDA" w14:textId="7722640C" w:rsidR="00BB67DB" w:rsidRDefault="00000000" w:rsidP="00782760">
            <w:pPr>
              <w:ind w:left="22"/>
              <w:jc w:val="both"/>
              <w:rPr>
                <w:rFonts w:ascii="Arial" w:hAnsi="Arial"/>
                <w:snapToGrid w:val="0"/>
                <w:sz w:val="20"/>
                <w:szCs w:val="20"/>
              </w:rPr>
            </w:pPr>
            <m:oMath>
              <m:sSub>
                <m:sSubPr>
                  <m:ctrlPr>
                    <w:rPr>
                      <w:rFonts w:ascii="Cambria Math" w:hAnsi="Cambria Math"/>
                      <w:b/>
                      <w:bCs/>
                      <w:i/>
                      <w:sz w:val="24"/>
                      <w:szCs w:val="24"/>
                    </w:rPr>
                  </m:ctrlPr>
                </m:sSubPr>
                <m:e>
                  <m:r>
                    <m:rPr>
                      <m:sty m:val="bi"/>
                    </m:rPr>
                    <w:rPr>
                      <w:rFonts w:ascii="Cambria Math" w:hAnsi="Cambria Math"/>
                      <w:sz w:val="24"/>
                      <w:szCs w:val="24"/>
                    </w:rPr>
                    <m:t>CTC</m:t>
                  </m:r>
                </m:e>
                <m:sub>
                  <m:r>
                    <m:rPr>
                      <m:sty m:val="bi"/>
                    </m:rPr>
                    <w:rPr>
                      <w:rFonts w:ascii="Cambria Math" w:hAnsi="Cambria Math"/>
                      <w:sz w:val="24"/>
                      <w:szCs w:val="24"/>
                    </w:rPr>
                    <m:t>t</m:t>
                  </m:r>
                </m:sub>
              </m:sSub>
              <m:r>
                <m:rPr>
                  <m:sty m:val="bi"/>
                </m:rPr>
                <w:rPr>
                  <w:rFonts w:ascii="Cambria Math" w:hAnsi="Cambria Math"/>
                  <w:sz w:val="24"/>
                  <w:szCs w:val="24"/>
                </w:rPr>
                <m:t xml:space="preserve">: </m:t>
              </m:r>
            </m:oMath>
            <w:r w:rsidR="00BB67DB" w:rsidRPr="001C36DA">
              <w:rPr>
                <w:rFonts w:ascii="Arial" w:hAnsi="Arial"/>
                <w:sz w:val="20"/>
                <w:szCs w:val="20"/>
              </w:rPr>
              <w:t xml:space="preserve">Cantidad total </w:t>
            </w:r>
            <w:r w:rsidR="001C36DA">
              <w:rPr>
                <w:rFonts w:ascii="Arial" w:hAnsi="Arial"/>
                <w:sz w:val="20"/>
                <w:szCs w:val="20"/>
              </w:rPr>
              <w:t>de</w:t>
            </w:r>
            <w:r w:rsidR="00BB67DB" w:rsidRPr="00782760">
              <w:rPr>
                <w:rFonts w:ascii="Arial" w:hAnsi="Arial"/>
                <w:sz w:val="20"/>
                <w:szCs w:val="20"/>
              </w:rPr>
              <w:t xml:space="preserve"> </w:t>
            </w:r>
            <w:r w:rsidR="001C36DA" w:rsidRPr="001C36DA">
              <w:rPr>
                <w:rFonts w:ascii="Arial" w:hAnsi="Arial"/>
                <w:sz w:val="20"/>
                <w:szCs w:val="20"/>
              </w:rPr>
              <w:t>Centros de Extensión Cultural, Proyección Social y Educación Continua que</w:t>
            </w:r>
            <w:r w:rsidR="001C36DA">
              <w:rPr>
                <w:rFonts w:ascii="Arial" w:hAnsi="Arial"/>
                <w:sz w:val="20"/>
                <w:szCs w:val="20"/>
              </w:rPr>
              <w:t xml:space="preserve"> </w:t>
            </w:r>
            <w:r w:rsidR="001C36DA" w:rsidRPr="001C36DA">
              <w:rPr>
                <w:rFonts w:ascii="Arial" w:hAnsi="Arial"/>
                <w:sz w:val="20"/>
                <w:szCs w:val="20"/>
              </w:rPr>
              <w:t>brindan el Servicio de Extensión Cultural, Proyección Social y Educación Continua en Educación Superior Universitaria</w:t>
            </w:r>
            <w:r w:rsidR="001C36DA" w:rsidRPr="00782760">
              <w:rPr>
                <w:rFonts w:ascii="Arial" w:hAnsi="Arial"/>
                <w:sz w:val="20"/>
                <w:szCs w:val="20"/>
              </w:rPr>
              <w:t xml:space="preserve"> </w:t>
            </w:r>
            <w:r w:rsidR="00BB67DB" w:rsidRPr="00782760">
              <w:rPr>
                <w:rFonts w:ascii="Arial" w:hAnsi="Arial"/>
                <w:sz w:val="20"/>
                <w:szCs w:val="20"/>
              </w:rPr>
              <w:t>en el tiempo t.</w:t>
            </w:r>
          </w:p>
          <w:p w14:paraId="174D5023" w14:textId="77777777" w:rsidR="00BB67DB" w:rsidRDefault="00BB67DB" w:rsidP="00BB67DB">
            <w:pPr>
              <w:rPr>
                <w:rFonts w:ascii="Arial" w:hAnsi="Arial"/>
                <w:snapToGrid w:val="0"/>
                <w:sz w:val="20"/>
                <w:szCs w:val="20"/>
              </w:rPr>
            </w:pPr>
          </w:p>
          <w:p w14:paraId="0C07FE99" w14:textId="36157F77" w:rsidR="00BB67DB" w:rsidRDefault="00000000" w:rsidP="00BB67DB">
            <w:pPr>
              <w:rPr>
                <w:rFonts w:ascii="Arial" w:hAnsi="Arial"/>
                <w:snapToGrid w:val="0"/>
                <w:sz w:val="20"/>
                <w:szCs w:val="20"/>
              </w:rPr>
            </w:pPr>
            <m:oMath>
              <m:sSub>
                <m:sSubPr>
                  <m:ctrlPr>
                    <w:rPr>
                      <w:rFonts w:ascii="Cambria Math" w:hAnsi="Cambria Math"/>
                      <w:b/>
                      <w:bCs/>
                      <w:i/>
                      <w:sz w:val="24"/>
                      <w:szCs w:val="24"/>
                    </w:rPr>
                  </m:ctrlPr>
                </m:sSubPr>
                <m:e>
                  <m:r>
                    <m:rPr>
                      <m:sty m:val="bi"/>
                    </m:rPr>
                    <w:rPr>
                      <w:rFonts w:ascii="Cambria Math" w:hAnsi="Cambria Math"/>
                      <w:sz w:val="24"/>
                      <w:szCs w:val="24"/>
                    </w:rPr>
                    <m:t>CTCA</m:t>
                  </m:r>
                </m:e>
                <m:sub>
                  <m:r>
                    <m:rPr>
                      <m:sty m:val="bi"/>
                    </m:rPr>
                    <w:rPr>
                      <w:rFonts w:ascii="Cambria Math" w:hAnsi="Cambria Math"/>
                      <w:sz w:val="24"/>
                      <w:szCs w:val="24"/>
                    </w:rPr>
                    <m:t>t</m:t>
                  </m:r>
                </m:sub>
              </m:sSub>
              <m:r>
                <m:rPr>
                  <m:sty m:val="bi"/>
                </m:rPr>
                <w:rPr>
                  <w:rFonts w:ascii="Cambria Math" w:hAnsi="Cambria Math"/>
                  <w:sz w:val="24"/>
                  <w:szCs w:val="24"/>
                </w:rPr>
                <m:t xml:space="preserve">: </m:t>
              </m:r>
            </m:oMath>
            <w:r w:rsidR="00BB67DB">
              <w:rPr>
                <w:rFonts w:ascii="Arial" w:hAnsi="Arial"/>
                <w:sz w:val="20"/>
                <w:szCs w:val="20"/>
              </w:rPr>
              <w:t xml:space="preserve">Cantidad total de </w:t>
            </w:r>
            <w:r w:rsidR="001C36DA" w:rsidRPr="00904D27">
              <w:rPr>
                <w:rFonts w:ascii="Arial" w:hAnsi="Arial"/>
                <w:sz w:val="20"/>
                <w:szCs w:val="20"/>
              </w:rPr>
              <w:t>Centros de Extensión Cultural, Proyección Social y Educación Continua que brindan el Servicio de Extensión Cultural, Proyección Social y Educación Continua en Educación Superior Universitaria</w:t>
            </w:r>
            <w:r w:rsidR="001C36DA">
              <w:rPr>
                <w:rFonts w:ascii="Arial" w:hAnsi="Arial"/>
                <w:sz w:val="20"/>
                <w:szCs w:val="20"/>
              </w:rPr>
              <w:t xml:space="preserve"> en estado situacional adecuado</w:t>
            </w:r>
            <w:r w:rsidR="001C36DA" w:rsidRPr="00904D27">
              <w:rPr>
                <w:rFonts w:ascii="Arial" w:hAnsi="Arial"/>
                <w:sz w:val="20"/>
                <w:szCs w:val="20"/>
              </w:rPr>
              <w:t xml:space="preserve"> en el tiempo t.</w:t>
            </w:r>
          </w:p>
          <w:p w14:paraId="29BEE9AF" w14:textId="77777777" w:rsidR="00BB67DB" w:rsidRDefault="00BB67DB" w:rsidP="00BB67DB">
            <w:pPr>
              <w:rPr>
                <w:rFonts w:ascii="Arial" w:hAnsi="Arial"/>
                <w:snapToGrid w:val="0"/>
                <w:sz w:val="20"/>
                <w:szCs w:val="20"/>
              </w:rPr>
            </w:pPr>
          </w:p>
          <w:p w14:paraId="72FCF017" w14:textId="71C7CF4B" w:rsidR="00204BC9" w:rsidRDefault="00000000" w:rsidP="00204BC9">
            <w:pPr>
              <w:jc w:val="both"/>
              <w:rPr>
                <w:rFonts w:ascii="Arial" w:hAnsi="Arial"/>
                <w:bCs/>
                <w:sz w:val="20"/>
                <w:szCs w:val="20"/>
              </w:rPr>
            </w:pPr>
            <m:oMath>
              <m:sSub>
                <m:sSubPr>
                  <m:ctrlPr>
                    <w:rPr>
                      <w:rFonts w:ascii="Cambria Math" w:hAnsi="Cambria Math"/>
                      <w:b/>
                      <w:bCs/>
                      <w:i/>
                      <w:sz w:val="24"/>
                      <w:szCs w:val="24"/>
                    </w:rPr>
                  </m:ctrlPr>
                </m:sSubPr>
                <m:e>
                  <m:r>
                    <m:rPr>
                      <m:sty m:val="bi"/>
                    </m:rPr>
                    <w:rPr>
                      <w:rFonts w:ascii="Cambria Math" w:hAnsi="Cambria Math"/>
                      <w:sz w:val="24"/>
                      <w:szCs w:val="24"/>
                    </w:rPr>
                    <m:t>CTCI</m:t>
                  </m:r>
                </m:e>
                <m:sub>
                  <m:r>
                    <m:rPr>
                      <m:sty m:val="bi"/>
                    </m:rPr>
                    <w:rPr>
                      <w:rFonts w:ascii="Cambria Math" w:hAnsi="Cambria Math"/>
                      <w:sz w:val="24"/>
                      <w:szCs w:val="24"/>
                    </w:rPr>
                    <m:t>t</m:t>
                  </m:r>
                </m:sub>
              </m:sSub>
              <m:r>
                <m:rPr>
                  <m:sty m:val="bi"/>
                </m:rPr>
                <w:rPr>
                  <w:rFonts w:ascii="Cambria Math" w:hAnsi="Cambria Math"/>
                  <w:sz w:val="24"/>
                  <w:szCs w:val="24"/>
                </w:rPr>
                <m:t xml:space="preserve">: </m:t>
              </m:r>
            </m:oMath>
            <w:r w:rsidR="00BB67DB" w:rsidRPr="00782760">
              <w:rPr>
                <w:rFonts w:ascii="Arial" w:hAnsi="Arial"/>
                <w:sz w:val="20"/>
                <w:szCs w:val="20"/>
              </w:rPr>
              <w:t xml:space="preserve">Cantidad total </w:t>
            </w:r>
            <w:r w:rsidR="001C36DA" w:rsidRPr="00782760">
              <w:rPr>
                <w:rFonts w:ascii="Arial" w:hAnsi="Arial"/>
                <w:sz w:val="20"/>
                <w:szCs w:val="20"/>
              </w:rPr>
              <w:t>Centros de Extensión Cultural, Proyección Social y Educación Continua que brindan el Servicio de Extensión Cultural, Proyección Social y Educación Continua en Educación Superior Universitaria</w:t>
            </w:r>
            <w:r w:rsidR="001C36DA">
              <w:rPr>
                <w:rFonts w:ascii="Arial" w:hAnsi="Arial"/>
                <w:sz w:val="20"/>
                <w:szCs w:val="20"/>
              </w:rPr>
              <w:t xml:space="preserve"> en estado situacional inadecuado</w:t>
            </w:r>
            <w:r w:rsidR="001C36DA" w:rsidRPr="00782760">
              <w:rPr>
                <w:rFonts w:ascii="Arial" w:hAnsi="Arial"/>
                <w:sz w:val="20"/>
                <w:szCs w:val="20"/>
              </w:rPr>
              <w:t xml:space="preserve"> en el tiempo t.</w:t>
            </w:r>
          </w:p>
          <w:p w14:paraId="3B2652CB" w14:textId="77777777" w:rsidR="00204BC9" w:rsidRDefault="00204BC9" w:rsidP="00204BC9">
            <w:pPr>
              <w:jc w:val="both"/>
              <w:rPr>
                <w:rFonts w:ascii="Arial" w:hAnsi="Arial"/>
                <w:bCs/>
                <w:sz w:val="20"/>
                <w:szCs w:val="20"/>
              </w:rPr>
            </w:pPr>
          </w:p>
          <w:p w14:paraId="166A21C1" w14:textId="6C6FA1EB" w:rsidR="002201A7" w:rsidRDefault="002201A7" w:rsidP="00782760">
            <w:pPr>
              <w:pStyle w:val="Prrafodelista"/>
              <w:numPr>
                <w:ilvl w:val="0"/>
                <w:numId w:val="30"/>
              </w:numPr>
              <w:jc w:val="both"/>
            </w:pPr>
            <w:r w:rsidRPr="00782760">
              <w:rPr>
                <w:rFonts w:ascii="Arial" w:hAnsi="Arial"/>
                <w:bCs/>
                <w:sz w:val="20"/>
                <w:szCs w:val="20"/>
              </w:rPr>
              <w:t xml:space="preserve">Metodologías para estimar el estado situacional de </w:t>
            </w:r>
            <w:r w:rsidR="00881BC3" w:rsidRPr="00782760">
              <w:rPr>
                <w:rFonts w:ascii="Arial" w:hAnsi="Arial"/>
                <w:bCs/>
                <w:sz w:val="20"/>
                <w:szCs w:val="20"/>
              </w:rPr>
              <w:t>Centros de Extensión Cultural, Proyección Social y Educación Continua</w:t>
            </w:r>
            <w:r w:rsidRPr="00782760">
              <w:rPr>
                <w:rFonts w:ascii="Arial" w:hAnsi="Arial"/>
                <w:bCs/>
                <w:sz w:val="20"/>
                <w:szCs w:val="20"/>
              </w:rPr>
              <w:t xml:space="preserve"> </w:t>
            </w:r>
            <w:r w:rsidR="00434142" w:rsidRPr="00434142">
              <w:rPr>
                <w:rFonts w:ascii="Arial" w:hAnsi="Arial"/>
                <w:bCs/>
                <w:sz w:val="20"/>
                <w:szCs w:val="20"/>
              </w:rPr>
              <w:t>de acuerdo con</w:t>
            </w:r>
            <w:r w:rsidRPr="00782760">
              <w:rPr>
                <w:rFonts w:ascii="Arial" w:hAnsi="Arial"/>
                <w:bCs/>
                <w:sz w:val="20"/>
                <w:szCs w:val="20"/>
              </w:rPr>
              <w:t xml:space="preserve"> </w:t>
            </w:r>
            <w:r w:rsidRPr="00013423">
              <w:t>la “Base de datos del estado de la infraestructura universitaria</w:t>
            </w:r>
            <w:r>
              <w:t xml:space="preserve"> según</w:t>
            </w:r>
            <w:r w:rsidRPr="00E16BD6">
              <w:t xml:space="preserve"> las </w:t>
            </w:r>
            <w:r w:rsidRPr="00744593">
              <w:t>U</w:t>
            </w:r>
            <w:r w:rsidRPr="00013423">
              <w:t>nidades Formuladoras”:</w:t>
            </w:r>
          </w:p>
          <w:p w14:paraId="507FB91F" w14:textId="155A319C" w:rsidR="002201A7" w:rsidRDefault="002201A7" w:rsidP="002201A7"/>
          <w:tbl>
            <w:tblPr>
              <w:tblStyle w:val="Tablaconcuadrcula"/>
              <w:tblW w:w="0" w:type="auto"/>
              <w:tblLayout w:type="fixed"/>
              <w:tblLook w:val="04A0" w:firstRow="1" w:lastRow="0" w:firstColumn="1" w:lastColumn="0" w:noHBand="0" w:noVBand="1"/>
            </w:tblPr>
            <w:tblGrid>
              <w:gridCol w:w="6679"/>
              <w:gridCol w:w="2552"/>
            </w:tblGrid>
            <w:tr w:rsidR="002201A7" w14:paraId="754338E3" w14:textId="77777777" w:rsidTr="00782760">
              <w:trPr>
                <w:trHeight w:val="252"/>
              </w:trPr>
              <w:tc>
                <w:tcPr>
                  <w:tcW w:w="6679" w:type="dxa"/>
                  <w:vAlign w:val="center"/>
                </w:tcPr>
                <w:p w14:paraId="3F75A647" w14:textId="2EE7AD6A" w:rsidR="002201A7" w:rsidRPr="002201A7" w:rsidRDefault="002201A7" w:rsidP="002201A7">
                  <w:pPr>
                    <w:jc w:val="center"/>
                    <w:rPr>
                      <w:rFonts w:ascii="Arial" w:hAnsi="Arial"/>
                      <w:b/>
                      <w:bCs/>
                      <w:sz w:val="20"/>
                      <w:szCs w:val="20"/>
                    </w:rPr>
                  </w:pPr>
                  <w:r w:rsidRPr="002201A7">
                    <w:rPr>
                      <w:rFonts w:ascii="Arial" w:hAnsi="Arial"/>
                      <w:b/>
                      <w:bCs/>
                      <w:sz w:val="20"/>
                      <w:szCs w:val="20"/>
                    </w:rPr>
                    <w:t xml:space="preserve">Características de los </w:t>
                  </w:r>
                  <w:r w:rsidRPr="00782760">
                    <w:rPr>
                      <w:rFonts w:ascii="Arial" w:hAnsi="Arial"/>
                      <w:b/>
                      <w:bCs/>
                      <w:sz w:val="20"/>
                      <w:szCs w:val="20"/>
                    </w:rPr>
                    <w:t>Centro de Extensión Cultural, Proyección Social y Educación Continua</w:t>
                  </w:r>
                </w:p>
              </w:tc>
              <w:tc>
                <w:tcPr>
                  <w:tcW w:w="2552" w:type="dxa"/>
                  <w:vAlign w:val="center"/>
                </w:tcPr>
                <w:p w14:paraId="1F78B84E" w14:textId="61226C54" w:rsidR="002201A7" w:rsidRPr="002201A7" w:rsidRDefault="002201A7" w:rsidP="002201A7">
                  <w:pPr>
                    <w:jc w:val="center"/>
                    <w:rPr>
                      <w:rFonts w:ascii="Arial" w:hAnsi="Arial"/>
                      <w:b/>
                      <w:bCs/>
                      <w:sz w:val="20"/>
                      <w:szCs w:val="20"/>
                    </w:rPr>
                  </w:pPr>
                  <w:r w:rsidRPr="002201A7">
                    <w:rPr>
                      <w:rFonts w:ascii="Arial" w:hAnsi="Arial"/>
                      <w:b/>
                      <w:bCs/>
                      <w:sz w:val="20"/>
                      <w:szCs w:val="20"/>
                    </w:rPr>
                    <w:t xml:space="preserve">Estimación del estado situacional de los </w:t>
                  </w:r>
                  <w:r w:rsidRPr="00782760">
                    <w:rPr>
                      <w:rFonts w:ascii="Arial" w:hAnsi="Arial"/>
                      <w:b/>
                      <w:bCs/>
                      <w:sz w:val="20"/>
                      <w:szCs w:val="20"/>
                    </w:rPr>
                    <w:t>Centro de Extensión Cultural, Proyección Social y Educación Continua</w:t>
                  </w:r>
                </w:p>
              </w:tc>
            </w:tr>
            <w:tr w:rsidR="002201A7" w14:paraId="5E277D82" w14:textId="77777777" w:rsidTr="00782760">
              <w:trPr>
                <w:trHeight w:val="252"/>
              </w:trPr>
              <w:tc>
                <w:tcPr>
                  <w:tcW w:w="6679" w:type="dxa"/>
                </w:tcPr>
                <w:p w14:paraId="079200D4" w14:textId="77777777" w:rsidR="001C36DA" w:rsidRDefault="001C36DA" w:rsidP="002201A7">
                  <w:pPr>
                    <w:jc w:val="both"/>
                    <w:rPr>
                      <w:rFonts w:ascii="Arial" w:hAnsi="Arial"/>
                      <w:sz w:val="20"/>
                      <w:szCs w:val="20"/>
                    </w:rPr>
                  </w:pPr>
                </w:p>
                <w:p w14:paraId="2EEA5148" w14:textId="4DCB33E0" w:rsidR="002201A7" w:rsidRDefault="002201A7" w:rsidP="002201A7">
                  <w:pPr>
                    <w:jc w:val="both"/>
                    <w:rPr>
                      <w:rFonts w:ascii="Arial" w:hAnsi="Arial"/>
                      <w:sz w:val="20"/>
                      <w:szCs w:val="20"/>
                    </w:rPr>
                  </w:pPr>
                  <w:r>
                    <w:rPr>
                      <w:rFonts w:ascii="Arial" w:hAnsi="Arial"/>
                      <w:sz w:val="20"/>
                      <w:szCs w:val="20"/>
                    </w:rPr>
                    <w:t xml:space="preserve">Los </w:t>
                  </w:r>
                  <w:r w:rsidRPr="00AA2E79">
                    <w:rPr>
                      <w:rFonts w:ascii="Arial" w:hAnsi="Arial"/>
                      <w:sz w:val="20"/>
                      <w:szCs w:val="20"/>
                    </w:rPr>
                    <w:t>Centro de Extensión Cultural, Proyección Social y Educación Continua</w:t>
                  </w:r>
                  <w:r>
                    <w:rPr>
                      <w:rFonts w:ascii="Arial" w:hAnsi="Arial"/>
                      <w:sz w:val="20"/>
                      <w:szCs w:val="20"/>
                    </w:rPr>
                    <w:t xml:space="preserve"> no cumple con los estándares de calidad para bridar el nivel de servicio deseado. </w:t>
                  </w:r>
                  <w:r w:rsidRPr="00AA2E79">
                    <w:rPr>
                      <w:rFonts w:ascii="Arial" w:hAnsi="Arial"/>
                      <w:b/>
                      <w:bCs/>
                      <w:sz w:val="20"/>
                      <w:szCs w:val="20"/>
                    </w:rPr>
                    <w:t xml:space="preserve">Las </w:t>
                  </w:r>
                  <w:r w:rsidRPr="002201A7">
                    <w:rPr>
                      <w:rFonts w:ascii="Arial" w:hAnsi="Arial"/>
                      <w:b/>
                      <w:bCs/>
                      <w:sz w:val="20"/>
                      <w:szCs w:val="20"/>
                    </w:rPr>
                    <w:t xml:space="preserve">características de los </w:t>
                  </w:r>
                  <w:r w:rsidRPr="00782760">
                    <w:rPr>
                      <w:rFonts w:ascii="Arial" w:hAnsi="Arial"/>
                      <w:b/>
                      <w:bCs/>
                      <w:sz w:val="20"/>
                      <w:szCs w:val="20"/>
                    </w:rPr>
                    <w:t xml:space="preserve">Centro de Extensión Cultural, Proyección Social y Educación Continua </w:t>
                  </w:r>
                  <w:r w:rsidRPr="002201A7">
                    <w:rPr>
                      <w:rFonts w:ascii="Arial" w:hAnsi="Arial"/>
                      <w:b/>
                      <w:bCs/>
                      <w:sz w:val="20"/>
                      <w:szCs w:val="20"/>
                    </w:rPr>
                    <w:t>de</w:t>
                  </w:r>
                  <w:r>
                    <w:rPr>
                      <w:rFonts w:ascii="Arial" w:hAnsi="Arial"/>
                      <w:b/>
                      <w:bCs/>
                      <w:sz w:val="20"/>
                      <w:szCs w:val="20"/>
                    </w:rPr>
                    <w:t xml:space="preserve"> las universidades púbicas</w:t>
                  </w:r>
                  <w:r w:rsidRPr="00AA2E79">
                    <w:rPr>
                      <w:rFonts w:ascii="Arial" w:hAnsi="Arial"/>
                      <w:b/>
                      <w:bCs/>
                      <w:sz w:val="20"/>
                      <w:szCs w:val="20"/>
                    </w:rPr>
                    <w:t xml:space="preserve"> para ser calificados como inadecuados son los siguientes</w:t>
                  </w:r>
                  <w:r>
                    <w:rPr>
                      <w:rFonts w:ascii="Arial" w:hAnsi="Arial"/>
                      <w:sz w:val="20"/>
                      <w:szCs w:val="20"/>
                    </w:rPr>
                    <w:t>:</w:t>
                  </w:r>
                </w:p>
                <w:p w14:paraId="6E3CF186" w14:textId="77777777" w:rsidR="002201A7" w:rsidRDefault="002201A7" w:rsidP="002201A7">
                  <w:pPr>
                    <w:jc w:val="both"/>
                    <w:rPr>
                      <w:rFonts w:ascii="Arial" w:hAnsi="Arial"/>
                      <w:sz w:val="20"/>
                      <w:szCs w:val="20"/>
                    </w:rPr>
                  </w:pPr>
                </w:p>
                <w:p w14:paraId="330A8EA0" w14:textId="7DDE0F3E" w:rsidR="002201A7" w:rsidRDefault="002201A7" w:rsidP="002201A7">
                  <w:pPr>
                    <w:pStyle w:val="Prrafodelista"/>
                    <w:numPr>
                      <w:ilvl w:val="0"/>
                      <w:numId w:val="29"/>
                    </w:numPr>
                    <w:jc w:val="both"/>
                    <w:rPr>
                      <w:rFonts w:ascii="Arial" w:hAnsi="Arial"/>
                      <w:sz w:val="20"/>
                      <w:szCs w:val="20"/>
                    </w:rPr>
                  </w:pPr>
                  <w:r w:rsidRPr="00AA2E79">
                    <w:rPr>
                      <w:rFonts w:ascii="Arial" w:hAnsi="Arial"/>
                      <w:sz w:val="20"/>
                      <w:szCs w:val="20"/>
                    </w:rPr>
                    <w:t xml:space="preserve">La </w:t>
                  </w:r>
                  <w:r>
                    <w:rPr>
                      <w:rFonts w:ascii="Arial" w:hAnsi="Arial"/>
                      <w:sz w:val="20"/>
                      <w:szCs w:val="20"/>
                    </w:rPr>
                    <w:t xml:space="preserve">infraestructura </w:t>
                  </w:r>
                  <w:r w:rsidRPr="00AA2E79">
                    <w:rPr>
                      <w:rFonts w:ascii="Arial" w:hAnsi="Arial"/>
                      <w:sz w:val="20"/>
                      <w:szCs w:val="20"/>
                    </w:rPr>
                    <w:t>se encuentra en un local alquilado</w:t>
                  </w:r>
                  <w:r w:rsidR="001C36DA">
                    <w:rPr>
                      <w:rFonts w:ascii="Arial" w:hAnsi="Arial"/>
                      <w:sz w:val="20"/>
                      <w:szCs w:val="20"/>
                    </w:rPr>
                    <w:t xml:space="preserve"> o prestado</w:t>
                  </w:r>
                  <w:r>
                    <w:rPr>
                      <w:rFonts w:ascii="Arial" w:hAnsi="Arial"/>
                      <w:sz w:val="20"/>
                      <w:szCs w:val="20"/>
                    </w:rPr>
                    <w:t>.</w:t>
                  </w:r>
                </w:p>
                <w:p w14:paraId="370E6E29" w14:textId="77777777" w:rsidR="002201A7" w:rsidRDefault="002201A7" w:rsidP="002201A7">
                  <w:pPr>
                    <w:pStyle w:val="Prrafodelista"/>
                    <w:numPr>
                      <w:ilvl w:val="0"/>
                      <w:numId w:val="29"/>
                    </w:numPr>
                    <w:jc w:val="both"/>
                    <w:rPr>
                      <w:rFonts w:ascii="Arial" w:hAnsi="Arial"/>
                      <w:sz w:val="20"/>
                      <w:szCs w:val="20"/>
                    </w:rPr>
                  </w:pPr>
                  <w:r>
                    <w:rPr>
                      <w:rFonts w:ascii="Arial" w:hAnsi="Arial"/>
                      <w:sz w:val="20"/>
                      <w:szCs w:val="20"/>
                    </w:rPr>
                    <w:t>tiene asociado un proyecto de inversión activo, en formulación o ejecución.</w:t>
                  </w:r>
                </w:p>
                <w:p w14:paraId="3FA4F329" w14:textId="77777777" w:rsidR="002201A7" w:rsidRDefault="002201A7" w:rsidP="002201A7">
                  <w:pPr>
                    <w:pStyle w:val="Prrafodelista"/>
                    <w:numPr>
                      <w:ilvl w:val="0"/>
                      <w:numId w:val="29"/>
                    </w:numPr>
                    <w:jc w:val="both"/>
                    <w:rPr>
                      <w:rFonts w:ascii="Arial" w:hAnsi="Arial"/>
                      <w:sz w:val="20"/>
                      <w:szCs w:val="20"/>
                    </w:rPr>
                  </w:pPr>
                  <w:r>
                    <w:rPr>
                      <w:rFonts w:ascii="Arial" w:hAnsi="Arial"/>
                      <w:sz w:val="20"/>
                      <w:szCs w:val="20"/>
                    </w:rPr>
                    <w:t xml:space="preserve">La infraestructura </w:t>
                  </w:r>
                  <w:r w:rsidRPr="00E46FF2">
                    <w:rPr>
                      <w:rFonts w:ascii="Arial" w:hAnsi="Arial"/>
                      <w:sz w:val="20"/>
                      <w:szCs w:val="20"/>
                    </w:rPr>
                    <w:t>ha sido construida sin criterio técnico y/o con materiales inadecuados (precarios)</w:t>
                  </w:r>
                  <w:r>
                    <w:rPr>
                      <w:rFonts w:ascii="Arial" w:hAnsi="Arial"/>
                      <w:sz w:val="20"/>
                      <w:szCs w:val="20"/>
                    </w:rPr>
                    <w:t>.</w:t>
                  </w:r>
                </w:p>
                <w:p w14:paraId="361144AF" w14:textId="77777777" w:rsidR="002201A7" w:rsidRDefault="002201A7" w:rsidP="002201A7">
                  <w:pPr>
                    <w:pStyle w:val="Prrafodelista"/>
                    <w:numPr>
                      <w:ilvl w:val="0"/>
                      <w:numId w:val="29"/>
                    </w:numPr>
                    <w:jc w:val="both"/>
                    <w:rPr>
                      <w:rFonts w:ascii="Arial" w:hAnsi="Arial"/>
                      <w:sz w:val="20"/>
                      <w:szCs w:val="20"/>
                    </w:rPr>
                  </w:pPr>
                  <w:r w:rsidRPr="00E46FF2">
                    <w:rPr>
                      <w:rFonts w:ascii="Arial" w:hAnsi="Arial"/>
                      <w:sz w:val="20"/>
                      <w:szCs w:val="20"/>
                    </w:rPr>
                    <w:t xml:space="preserve">La </w:t>
                  </w:r>
                  <w:r>
                    <w:rPr>
                      <w:rFonts w:ascii="Arial" w:hAnsi="Arial"/>
                      <w:sz w:val="20"/>
                      <w:szCs w:val="20"/>
                    </w:rPr>
                    <w:t>infraestructura</w:t>
                  </w:r>
                  <w:r w:rsidRPr="00E46FF2">
                    <w:rPr>
                      <w:rFonts w:ascii="Arial" w:hAnsi="Arial"/>
                      <w:sz w:val="20"/>
                      <w:szCs w:val="20"/>
                    </w:rPr>
                    <w:t xml:space="preserve"> tiene problemas estructurales por su antigüedad</w:t>
                  </w:r>
                  <w:r>
                    <w:rPr>
                      <w:rFonts w:ascii="Arial" w:hAnsi="Arial"/>
                      <w:sz w:val="20"/>
                      <w:szCs w:val="20"/>
                    </w:rPr>
                    <w:t>.</w:t>
                  </w:r>
                </w:p>
                <w:p w14:paraId="4F84D0C7" w14:textId="11A395C8" w:rsidR="002201A7" w:rsidRDefault="002201A7" w:rsidP="002201A7">
                  <w:pPr>
                    <w:pStyle w:val="Prrafodelista"/>
                    <w:numPr>
                      <w:ilvl w:val="0"/>
                      <w:numId w:val="29"/>
                    </w:numPr>
                    <w:jc w:val="both"/>
                    <w:rPr>
                      <w:rFonts w:ascii="Arial" w:hAnsi="Arial"/>
                      <w:sz w:val="20"/>
                      <w:szCs w:val="20"/>
                    </w:rPr>
                  </w:pPr>
                  <w:r>
                    <w:rPr>
                      <w:rFonts w:ascii="Arial" w:hAnsi="Arial"/>
                      <w:sz w:val="20"/>
                      <w:szCs w:val="20"/>
                    </w:rPr>
                    <w:t>La infraestructura t</w:t>
                  </w:r>
                  <w:r w:rsidRPr="00E46FF2">
                    <w:rPr>
                      <w:rFonts w:ascii="Arial" w:hAnsi="Arial"/>
                      <w:sz w:val="20"/>
                      <w:szCs w:val="20"/>
                    </w:rPr>
                    <w:t xml:space="preserve">iene Informe de riesgo de colapso o presenta Fallas estructurales importantes (asentamientos, rajaduras, </w:t>
                  </w:r>
                  <w:r w:rsidR="00881BC3" w:rsidRPr="00E46FF2">
                    <w:rPr>
                      <w:rFonts w:ascii="Arial" w:hAnsi="Arial"/>
                      <w:sz w:val="20"/>
                      <w:szCs w:val="20"/>
                    </w:rPr>
                    <w:t>etc.</w:t>
                  </w:r>
                  <w:r w:rsidRPr="00E46FF2">
                    <w:rPr>
                      <w:rFonts w:ascii="Arial" w:hAnsi="Arial"/>
                      <w:sz w:val="20"/>
                      <w:szCs w:val="20"/>
                    </w:rPr>
                    <w:t>)</w:t>
                  </w:r>
                  <w:r>
                    <w:rPr>
                      <w:rFonts w:ascii="Arial" w:hAnsi="Arial"/>
                      <w:sz w:val="20"/>
                      <w:szCs w:val="20"/>
                    </w:rPr>
                    <w:t>.</w:t>
                  </w:r>
                </w:p>
                <w:p w14:paraId="354A4F04" w14:textId="4BB5D23A" w:rsidR="002201A7" w:rsidRDefault="002201A7" w:rsidP="002201A7">
                  <w:pPr>
                    <w:pStyle w:val="Prrafodelista"/>
                    <w:numPr>
                      <w:ilvl w:val="0"/>
                      <w:numId w:val="29"/>
                    </w:numPr>
                    <w:jc w:val="both"/>
                    <w:rPr>
                      <w:rFonts w:ascii="Arial" w:hAnsi="Arial"/>
                      <w:sz w:val="20"/>
                      <w:szCs w:val="20"/>
                    </w:rPr>
                  </w:pPr>
                  <w:r w:rsidRPr="00E46FF2">
                    <w:rPr>
                      <w:rFonts w:ascii="Arial" w:hAnsi="Arial"/>
                      <w:sz w:val="20"/>
                      <w:szCs w:val="20"/>
                    </w:rPr>
                    <w:t xml:space="preserve">La </w:t>
                  </w:r>
                  <w:r>
                    <w:rPr>
                      <w:rFonts w:ascii="Arial" w:hAnsi="Arial"/>
                      <w:sz w:val="20"/>
                      <w:szCs w:val="20"/>
                    </w:rPr>
                    <w:t xml:space="preserve">infraestructura en su </w:t>
                  </w:r>
                  <w:r w:rsidRPr="00E46FF2">
                    <w:rPr>
                      <w:rFonts w:ascii="Arial" w:hAnsi="Arial"/>
                      <w:sz w:val="20"/>
                      <w:szCs w:val="20"/>
                    </w:rPr>
                    <w:t>mayoría</w:t>
                  </w:r>
                  <w:r>
                    <w:rPr>
                      <w:rFonts w:ascii="Arial" w:hAnsi="Arial"/>
                      <w:sz w:val="20"/>
                      <w:szCs w:val="20"/>
                    </w:rPr>
                    <w:t xml:space="preserve"> tiene problemas</w:t>
                  </w:r>
                  <w:r w:rsidRPr="00E46FF2">
                    <w:rPr>
                      <w:rFonts w:ascii="Arial" w:hAnsi="Arial"/>
                      <w:sz w:val="20"/>
                      <w:szCs w:val="20"/>
                    </w:rPr>
                    <w:t xml:space="preserve"> no estructurales (muros</w:t>
                  </w:r>
                  <w:r w:rsidR="001C36DA">
                    <w:rPr>
                      <w:rFonts w:ascii="Arial" w:hAnsi="Arial"/>
                      <w:sz w:val="20"/>
                      <w:szCs w:val="20"/>
                    </w:rPr>
                    <w:t xml:space="preserve"> de tabiquería</w:t>
                  </w:r>
                  <w:r w:rsidRPr="00E46FF2">
                    <w:rPr>
                      <w:rFonts w:ascii="Arial" w:hAnsi="Arial"/>
                      <w:sz w:val="20"/>
                      <w:szCs w:val="20"/>
                    </w:rPr>
                    <w:t xml:space="preserve">, pisos, puertas, ventanas, </w:t>
                  </w:r>
                  <w:r w:rsidR="00881BC3" w:rsidRPr="00E46FF2">
                    <w:rPr>
                      <w:rFonts w:ascii="Arial" w:hAnsi="Arial"/>
                      <w:sz w:val="20"/>
                      <w:szCs w:val="20"/>
                    </w:rPr>
                    <w:t>etc.</w:t>
                  </w:r>
                  <w:r w:rsidRPr="00E46FF2">
                    <w:rPr>
                      <w:rFonts w:ascii="Arial" w:hAnsi="Arial"/>
                      <w:sz w:val="20"/>
                      <w:szCs w:val="20"/>
                    </w:rPr>
                    <w:t>) están en mal estado y requieren ser reemplazados y no pueden ser atendidos por mantenimiento</w:t>
                  </w:r>
                  <w:r>
                    <w:rPr>
                      <w:rFonts w:ascii="Arial" w:hAnsi="Arial"/>
                      <w:sz w:val="20"/>
                      <w:szCs w:val="20"/>
                    </w:rPr>
                    <w:t>.</w:t>
                  </w:r>
                </w:p>
                <w:p w14:paraId="7EC6156E" w14:textId="77777777" w:rsidR="002201A7" w:rsidRDefault="002201A7" w:rsidP="002201A7">
                  <w:pPr>
                    <w:pStyle w:val="Prrafodelista"/>
                    <w:numPr>
                      <w:ilvl w:val="0"/>
                      <w:numId w:val="29"/>
                    </w:numPr>
                    <w:jc w:val="both"/>
                    <w:rPr>
                      <w:rFonts w:ascii="Arial" w:hAnsi="Arial"/>
                      <w:sz w:val="20"/>
                      <w:szCs w:val="20"/>
                    </w:rPr>
                  </w:pPr>
                  <w:r>
                    <w:rPr>
                      <w:rFonts w:ascii="Arial" w:hAnsi="Arial"/>
                      <w:sz w:val="20"/>
                      <w:szCs w:val="20"/>
                    </w:rPr>
                    <w:t>La infraestructura en su</w:t>
                  </w:r>
                  <w:r w:rsidRPr="00E46FF2">
                    <w:rPr>
                      <w:rFonts w:ascii="Arial" w:hAnsi="Arial"/>
                      <w:sz w:val="20"/>
                      <w:szCs w:val="20"/>
                    </w:rPr>
                    <w:t xml:space="preserve"> mayoría de los ambientes tiene problemas de hacinamiento (áreas insuficientes para una determinada cantidad de personas)</w:t>
                  </w:r>
                  <w:r>
                    <w:rPr>
                      <w:rFonts w:ascii="Arial" w:hAnsi="Arial"/>
                      <w:sz w:val="20"/>
                      <w:szCs w:val="20"/>
                    </w:rPr>
                    <w:t>.</w:t>
                  </w:r>
                </w:p>
                <w:p w14:paraId="10311A05" w14:textId="194EDA3B" w:rsidR="002201A7" w:rsidRDefault="002201A7" w:rsidP="002201A7">
                  <w:pPr>
                    <w:pStyle w:val="Prrafodelista"/>
                    <w:numPr>
                      <w:ilvl w:val="0"/>
                      <w:numId w:val="29"/>
                    </w:numPr>
                    <w:jc w:val="both"/>
                    <w:rPr>
                      <w:rFonts w:ascii="Arial" w:hAnsi="Arial"/>
                      <w:sz w:val="20"/>
                      <w:szCs w:val="20"/>
                    </w:rPr>
                  </w:pPr>
                  <w:r>
                    <w:rPr>
                      <w:rFonts w:ascii="Arial" w:hAnsi="Arial"/>
                      <w:sz w:val="20"/>
                      <w:szCs w:val="20"/>
                    </w:rPr>
                    <w:lastRenderedPageBreak/>
                    <w:t>La infraestructura en su</w:t>
                  </w:r>
                  <w:r w:rsidRPr="00D02058">
                    <w:rPr>
                      <w:rFonts w:ascii="Arial" w:hAnsi="Arial"/>
                      <w:sz w:val="20"/>
                      <w:szCs w:val="20"/>
                    </w:rPr>
                    <w:t xml:space="preserve"> mayoría de los ambientes </w:t>
                  </w:r>
                  <w:r>
                    <w:rPr>
                      <w:rFonts w:ascii="Arial" w:hAnsi="Arial"/>
                      <w:sz w:val="20"/>
                      <w:szCs w:val="20"/>
                    </w:rPr>
                    <w:t xml:space="preserve">no </w:t>
                  </w:r>
                  <w:r w:rsidRPr="00D02058">
                    <w:rPr>
                      <w:rFonts w:ascii="Arial" w:hAnsi="Arial"/>
                      <w:sz w:val="20"/>
                      <w:szCs w:val="20"/>
                    </w:rPr>
                    <w:t>tiene confort (iluminación, ventilación,</w:t>
                  </w:r>
                  <w:r>
                    <w:rPr>
                      <w:rFonts w:ascii="Arial" w:hAnsi="Arial"/>
                      <w:sz w:val="20"/>
                      <w:szCs w:val="20"/>
                    </w:rPr>
                    <w:t xml:space="preserve"> </w:t>
                  </w:r>
                  <w:r w:rsidR="00881BC3" w:rsidRPr="00D02058">
                    <w:rPr>
                      <w:rFonts w:ascii="Arial" w:hAnsi="Arial"/>
                      <w:sz w:val="20"/>
                      <w:szCs w:val="20"/>
                    </w:rPr>
                    <w:t>etc.</w:t>
                  </w:r>
                  <w:r w:rsidRPr="00D02058">
                    <w:rPr>
                      <w:rFonts w:ascii="Arial" w:hAnsi="Arial"/>
                      <w:sz w:val="20"/>
                      <w:szCs w:val="20"/>
                    </w:rPr>
                    <w:t>)</w:t>
                  </w:r>
                  <w:r>
                    <w:rPr>
                      <w:rFonts w:ascii="Arial" w:hAnsi="Arial"/>
                      <w:sz w:val="20"/>
                      <w:szCs w:val="20"/>
                    </w:rPr>
                    <w:t>,</w:t>
                  </w:r>
                  <w:r w:rsidRPr="00D02058">
                    <w:rPr>
                      <w:rFonts w:ascii="Arial" w:hAnsi="Arial"/>
                      <w:sz w:val="20"/>
                      <w:szCs w:val="20"/>
                    </w:rPr>
                    <w:t xml:space="preserve"> no pueden ser atendidos por mantenimiento</w:t>
                  </w:r>
                  <w:r>
                    <w:rPr>
                      <w:rFonts w:ascii="Arial" w:hAnsi="Arial"/>
                      <w:sz w:val="20"/>
                      <w:szCs w:val="20"/>
                    </w:rPr>
                    <w:t>.</w:t>
                  </w:r>
                </w:p>
                <w:p w14:paraId="46BFEB70" w14:textId="77777777" w:rsidR="002201A7" w:rsidRDefault="002201A7" w:rsidP="002201A7">
                  <w:pPr>
                    <w:pStyle w:val="Prrafodelista"/>
                    <w:numPr>
                      <w:ilvl w:val="0"/>
                      <w:numId w:val="29"/>
                    </w:numPr>
                    <w:jc w:val="both"/>
                    <w:rPr>
                      <w:rFonts w:ascii="Arial" w:hAnsi="Arial"/>
                      <w:sz w:val="20"/>
                      <w:szCs w:val="20"/>
                    </w:rPr>
                  </w:pPr>
                  <w:r>
                    <w:rPr>
                      <w:rFonts w:ascii="Arial" w:hAnsi="Arial"/>
                      <w:sz w:val="20"/>
                      <w:szCs w:val="20"/>
                    </w:rPr>
                    <w:t>La infraestructura p</w:t>
                  </w:r>
                  <w:r w:rsidRPr="00D02058">
                    <w:rPr>
                      <w:rFonts w:ascii="Arial" w:hAnsi="Arial"/>
                      <w:sz w:val="20"/>
                      <w:szCs w:val="20"/>
                    </w:rPr>
                    <w:t>resenta fallas en las instalaciones eléctricas</w:t>
                  </w:r>
                  <w:r>
                    <w:rPr>
                      <w:rFonts w:ascii="Arial" w:hAnsi="Arial"/>
                      <w:sz w:val="20"/>
                      <w:szCs w:val="20"/>
                    </w:rPr>
                    <w:t xml:space="preserve">, </w:t>
                  </w:r>
                  <w:r w:rsidRPr="00D02058">
                    <w:rPr>
                      <w:rFonts w:ascii="Arial" w:hAnsi="Arial"/>
                      <w:sz w:val="20"/>
                      <w:szCs w:val="20"/>
                    </w:rPr>
                    <w:t>sanitarias</w:t>
                  </w:r>
                  <w:r>
                    <w:rPr>
                      <w:rFonts w:ascii="Arial" w:hAnsi="Arial"/>
                      <w:sz w:val="20"/>
                      <w:szCs w:val="20"/>
                    </w:rPr>
                    <w:t xml:space="preserve">, </w:t>
                  </w:r>
                  <w:r w:rsidRPr="00D02058">
                    <w:rPr>
                      <w:rFonts w:ascii="Arial" w:hAnsi="Arial"/>
                      <w:sz w:val="20"/>
                      <w:szCs w:val="20"/>
                    </w:rPr>
                    <w:t>electromecánica, que no pueden ser atendidos por mantenimiento</w:t>
                  </w:r>
                  <w:r>
                    <w:rPr>
                      <w:rFonts w:ascii="Arial" w:hAnsi="Arial"/>
                      <w:sz w:val="20"/>
                      <w:szCs w:val="20"/>
                    </w:rPr>
                    <w:t xml:space="preserve">. </w:t>
                  </w:r>
                  <w:r w:rsidRPr="00E46FF2">
                    <w:rPr>
                      <w:rFonts w:ascii="Arial" w:hAnsi="Arial"/>
                      <w:sz w:val="20"/>
                      <w:szCs w:val="20"/>
                    </w:rPr>
                    <w:t>reemplazados y no pueden ser atendidos por mantenimiento</w:t>
                  </w:r>
                  <w:r>
                    <w:rPr>
                      <w:rFonts w:ascii="Arial" w:hAnsi="Arial"/>
                      <w:sz w:val="20"/>
                      <w:szCs w:val="20"/>
                    </w:rPr>
                    <w:t>.</w:t>
                  </w:r>
                </w:p>
                <w:p w14:paraId="4BB7F550" w14:textId="77777777" w:rsidR="002201A7" w:rsidRDefault="002201A7" w:rsidP="002201A7">
                  <w:pPr>
                    <w:jc w:val="both"/>
                    <w:rPr>
                      <w:rFonts w:ascii="Arial" w:hAnsi="Arial"/>
                      <w:sz w:val="20"/>
                      <w:szCs w:val="20"/>
                    </w:rPr>
                  </w:pPr>
                </w:p>
                <w:p w14:paraId="6B4ADECB" w14:textId="64481B0D" w:rsidR="002201A7" w:rsidRPr="00AA2E79" w:rsidRDefault="002201A7" w:rsidP="002201A7">
                  <w:pPr>
                    <w:jc w:val="both"/>
                    <w:rPr>
                      <w:rFonts w:ascii="Arial" w:hAnsi="Arial"/>
                      <w:sz w:val="20"/>
                      <w:szCs w:val="20"/>
                    </w:rPr>
                  </w:pPr>
                  <w:r>
                    <w:rPr>
                      <w:rFonts w:ascii="Arial" w:hAnsi="Arial"/>
                      <w:sz w:val="20"/>
                      <w:szCs w:val="20"/>
                    </w:rPr>
                    <w:t xml:space="preserve">Si uno de los </w:t>
                  </w:r>
                  <w:r w:rsidRPr="00AA2E79">
                    <w:rPr>
                      <w:rFonts w:ascii="Arial" w:hAnsi="Arial"/>
                      <w:sz w:val="20"/>
                      <w:szCs w:val="20"/>
                    </w:rPr>
                    <w:t>Centro de Extensión Cultural, Proyección Social y Educación Continua</w:t>
                  </w:r>
                  <w:r>
                    <w:rPr>
                      <w:rFonts w:ascii="Arial" w:hAnsi="Arial"/>
                      <w:sz w:val="20"/>
                      <w:szCs w:val="20"/>
                    </w:rPr>
                    <w:t xml:space="preserve"> </w:t>
                  </w:r>
                  <w:r w:rsidR="00881BC3">
                    <w:rPr>
                      <w:rFonts w:ascii="Arial" w:hAnsi="Arial"/>
                      <w:sz w:val="20"/>
                      <w:szCs w:val="20"/>
                    </w:rPr>
                    <w:t>presenta al menos una de las características señaladas será considerada en estado situacional inadecuado.</w:t>
                  </w:r>
                </w:p>
                <w:p w14:paraId="3251FEB1" w14:textId="77777777" w:rsidR="002201A7" w:rsidRPr="00AA2E79" w:rsidRDefault="002201A7" w:rsidP="002201A7">
                  <w:pPr>
                    <w:pStyle w:val="Prrafodelista"/>
                    <w:jc w:val="both"/>
                    <w:rPr>
                      <w:rFonts w:ascii="Arial" w:hAnsi="Arial"/>
                      <w:sz w:val="20"/>
                      <w:szCs w:val="20"/>
                    </w:rPr>
                  </w:pPr>
                </w:p>
              </w:tc>
              <w:tc>
                <w:tcPr>
                  <w:tcW w:w="2552" w:type="dxa"/>
                  <w:vAlign w:val="center"/>
                </w:tcPr>
                <w:p w14:paraId="0EA4AA57" w14:textId="77777777" w:rsidR="002201A7" w:rsidRDefault="002201A7" w:rsidP="002201A7">
                  <w:pPr>
                    <w:jc w:val="center"/>
                    <w:rPr>
                      <w:rFonts w:ascii="Arial" w:hAnsi="Arial"/>
                      <w:sz w:val="20"/>
                      <w:szCs w:val="20"/>
                    </w:rPr>
                  </w:pPr>
                  <w:r>
                    <w:rPr>
                      <w:rFonts w:ascii="Arial" w:hAnsi="Arial"/>
                      <w:sz w:val="20"/>
                      <w:szCs w:val="20"/>
                    </w:rPr>
                    <w:lastRenderedPageBreak/>
                    <w:t>Inadecuado</w:t>
                  </w:r>
                </w:p>
              </w:tc>
            </w:tr>
            <w:tr w:rsidR="002201A7" w14:paraId="3CA2D718" w14:textId="77777777" w:rsidTr="00782760">
              <w:trPr>
                <w:trHeight w:val="252"/>
              </w:trPr>
              <w:tc>
                <w:tcPr>
                  <w:tcW w:w="6679" w:type="dxa"/>
                </w:tcPr>
                <w:p w14:paraId="2C06BD05" w14:textId="20323808" w:rsidR="002201A7" w:rsidRDefault="002201A7" w:rsidP="002201A7">
                  <w:pPr>
                    <w:jc w:val="both"/>
                    <w:rPr>
                      <w:rFonts w:ascii="Arial" w:hAnsi="Arial"/>
                      <w:sz w:val="20"/>
                      <w:szCs w:val="20"/>
                    </w:rPr>
                  </w:pPr>
                  <w:r>
                    <w:rPr>
                      <w:rFonts w:ascii="Arial" w:hAnsi="Arial"/>
                      <w:sz w:val="20"/>
                      <w:szCs w:val="20"/>
                    </w:rPr>
                    <w:t xml:space="preserve">Los </w:t>
                  </w:r>
                  <w:r w:rsidRPr="00AA2E79">
                    <w:rPr>
                      <w:rFonts w:ascii="Arial" w:hAnsi="Arial"/>
                      <w:sz w:val="20"/>
                      <w:szCs w:val="20"/>
                    </w:rPr>
                    <w:t>Centro de Extensión Cultural, Proyección Social y Educación Continua</w:t>
                  </w:r>
                  <w:r>
                    <w:rPr>
                      <w:rFonts w:ascii="Arial" w:hAnsi="Arial"/>
                      <w:sz w:val="20"/>
                      <w:szCs w:val="20"/>
                    </w:rPr>
                    <w:t xml:space="preserve"> cumple con los estándares de calidad para bridar el nivel de servicio deseado.</w:t>
                  </w:r>
                </w:p>
                <w:p w14:paraId="198E25A9" w14:textId="77777777" w:rsidR="002201A7" w:rsidRDefault="002201A7" w:rsidP="002201A7">
                  <w:pPr>
                    <w:jc w:val="both"/>
                    <w:rPr>
                      <w:rFonts w:ascii="Arial" w:hAnsi="Arial"/>
                      <w:sz w:val="20"/>
                      <w:szCs w:val="20"/>
                    </w:rPr>
                  </w:pPr>
                </w:p>
              </w:tc>
              <w:tc>
                <w:tcPr>
                  <w:tcW w:w="2552" w:type="dxa"/>
                  <w:vAlign w:val="center"/>
                </w:tcPr>
                <w:p w14:paraId="7D478AC0" w14:textId="77777777" w:rsidR="002201A7" w:rsidRDefault="002201A7" w:rsidP="002201A7">
                  <w:pPr>
                    <w:jc w:val="center"/>
                    <w:rPr>
                      <w:rFonts w:ascii="Arial" w:hAnsi="Arial"/>
                      <w:sz w:val="20"/>
                      <w:szCs w:val="20"/>
                    </w:rPr>
                  </w:pPr>
                  <w:r>
                    <w:rPr>
                      <w:rFonts w:ascii="Arial" w:hAnsi="Arial"/>
                      <w:sz w:val="20"/>
                      <w:szCs w:val="20"/>
                    </w:rPr>
                    <w:t>Adecuado</w:t>
                  </w:r>
                </w:p>
              </w:tc>
            </w:tr>
          </w:tbl>
          <w:p w14:paraId="402DEC89" w14:textId="3CD82CD2" w:rsidR="002201A7" w:rsidRDefault="002201A7" w:rsidP="002201A7"/>
          <w:p w14:paraId="785BAF9F" w14:textId="307B5ED3" w:rsidR="002C6B38" w:rsidRPr="00AA771A" w:rsidRDefault="002C6B38" w:rsidP="002C6B38">
            <w:pPr>
              <w:rPr>
                <w:rFonts w:ascii="Arial" w:hAnsi="Arial" w:cs="Arial"/>
                <w:sz w:val="18"/>
                <w:szCs w:val="20"/>
              </w:rPr>
            </w:pPr>
          </w:p>
        </w:tc>
      </w:tr>
      <w:tr w:rsidR="00AA771A" w:rsidRPr="00AA771A" w14:paraId="49E55D8F"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2C6B38" w:rsidRPr="00AA771A" w:rsidRDefault="002C6B38" w:rsidP="002C6B38">
            <w:pPr>
              <w:rPr>
                <w:rFonts w:ascii="Arial" w:hAnsi="Arial" w:cs="Arial"/>
                <w:sz w:val="18"/>
                <w:szCs w:val="20"/>
              </w:rPr>
            </w:pPr>
            <w:r w:rsidRPr="00AA771A">
              <w:rPr>
                <w:rFonts w:ascii="Arial" w:hAnsi="Arial" w:cs="Arial"/>
                <w:b/>
                <w:bCs/>
                <w:szCs w:val="20"/>
              </w:rPr>
              <w:lastRenderedPageBreak/>
              <w:t>Supuestos</w:t>
            </w:r>
          </w:p>
        </w:tc>
      </w:tr>
      <w:tr w:rsidR="00AA771A" w:rsidRPr="00AA771A" w14:paraId="0A28DBD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418E32E8" w14:textId="77777777" w:rsidR="002201A7" w:rsidRDefault="002201A7" w:rsidP="00782760">
            <w:pPr>
              <w:pStyle w:val="Prrafodelista"/>
              <w:autoSpaceDE w:val="0"/>
              <w:autoSpaceDN w:val="0"/>
              <w:jc w:val="both"/>
              <w:rPr>
                <w:rFonts w:ascii="Arial" w:hAnsi="Arial"/>
                <w:sz w:val="20"/>
                <w:szCs w:val="20"/>
              </w:rPr>
            </w:pPr>
          </w:p>
          <w:p w14:paraId="1E5C431C" w14:textId="25248749" w:rsidR="002201A7" w:rsidRDefault="002201A7" w:rsidP="002201A7">
            <w:pPr>
              <w:pStyle w:val="Prrafodelista"/>
              <w:numPr>
                <w:ilvl w:val="0"/>
                <w:numId w:val="7"/>
              </w:numPr>
              <w:autoSpaceDE w:val="0"/>
              <w:autoSpaceDN w:val="0"/>
              <w:jc w:val="both"/>
              <w:rPr>
                <w:rFonts w:ascii="Arial" w:hAnsi="Arial"/>
                <w:sz w:val="20"/>
                <w:szCs w:val="20"/>
              </w:rPr>
            </w:pPr>
            <w:r>
              <w:rPr>
                <w:rFonts w:ascii="Arial" w:hAnsi="Arial"/>
                <w:sz w:val="20"/>
                <w:szCs w:val="20"/>
              </w:rPr>
              <w:t>El equipo técnico de la Unidad Formuladora</w:t>
            </w:r>
            <w:r w:rsidR="000F5348">
              <w:rPr>
                <w:rFonts w:ascii="Arial" w:hAnsi="Arial"/>
                <w:sz w:val="20"/>
                <w:szCs w:val="20"/>
              </w:rPr>
              <w:t xml:space="preserve"> (UF)</w:t>
            </w:r>
            <w:r>
              <w:rPr>
                <w:rFonts w:ascii="Arial" w:hAnsi="Arial"/>
                <w:sz w:val="20"/>
                <w:szCs w:val="20"/>
              </w:rPr>
              <w:t xml:space="preserve"> que realiza la inspección </w:t>
            </w:r>
            <w:r w:rsidR="00CD18F5">
              <w:rPr>
                <w:rFonts w:ascii="Arial" w:hAnsi="Arial"/>
                <w:sz w:val="20"/>
                <w:szCs w:val="20"/>
              </w:rPr>
              <w:t>visual</w:t>
            </w:r>
            <w:r>
              <w:rPr>
                <w:rFonts w:ascii="Arial" w:hAnsi="Arial"/>
                <w:sz w:val="20"/>
                <w:szCs w:val="20"/>
              </w:rPr>
              <w:t xml:space="preserve"> y registra la información asociada a la identificación y determinación del estado situacional de la infraestructura educativa cuenta con las competencias y habilidades necesarias para realizar el operativo de levantamiento de información en las universidades.</w:t>
            </w:r>
          </w:p>
          <w:p w14:paraId="548757FF" w14:textId="0566B73E" w:rsidR="002201A7" w:rsidRDefault="002201A7" w:rsidP="002201A7">
            <w:pPr>
              <w:pStyle w:val="Prrafodelista"/>
              <w:numPr>
                <w:ilvl w:val="0"/>
                <w:numId w:val="7"/>
              </w:numPr>
              <w:autoSpaceDE w:val="0"/>
              <w:autoSpaceDN w:val="0"/>
              <w:jc w:val="both"/>
              <w:rPr>
                <w:rFonts w:ascii="Arial" w:hAnsi="Arial"/>
                <w:sz w:val="20"/>
                <w:szCs w:val="20"/>
              </w:rPr>
            </w:pPr>
            <w:r>
              <w:rPr>
                <w:rFonts w:ascii="Arial" w:hAnsi="Arial"/>
                <w:sz w:val="20"/>
                <w:szCs w:val="20"/>
              </w:rPr>
              <w:t xml:space="preserve">Las </w:t>
            </w:r>
            <w:r w:rsidR="000F5348">
              <w:rPr>
                <w:rFonts w:ascii="Arial" w:hAnsi="Arial"/>
                <w:sz w:val="20"/>
                <w:szCs w:val="20"/>
              </w:rPr>
              <w:t>UF</w:t>
            </w:r>
            <w:r>
              <w:rPr>
                <w:rFonts w:ascii="Arial" w:hAnsi="Arial"/>
                <w:sz w:val="20"/>
                <w:szCs w:val="20"/>
              </w:rPr>
              <w:t xml:space="preserve"> no tienen incentivos para declarar que una infraestructura se encuentra en condiciones inadecuadas con el objetivo de tener mayor presupuesto para el cierre de sus brechas.</w:t>
            </w:r>
          </w:p>
          <w:p w14:paraId="6747AEC5" w14:textId="44DD54E3" w:rsidR="002201A7" w:rsidRPr="008F73FA" w:rsidRDefault="002201A7" w:rsidP="002201A7">
            <w:pPr>
              <w:pStyle w:val="Prrafodelista"/>
              <w:numPr>
                <w:ilvl w:val="0"/>
                <w:numId w:val="7"/>
              </w:numPr>
              <w:autoSpaceDE w:val="0"/>
              <w:autoSpaceDN w:val="0"/>
              <w:jc w:val="both"/>
              <w:rPr>
                <w:rFonts w:ascii="Arial" w:hAnsi="Arial"/>
                <w:sz w:val="20"/>
                <w:szCs w:val="20"/>
              </w:rPr>
            </w:pPr>
            <w:r>
              <w:rPr>
                <w:rFonts w:ascii="Arial" w:hAnsi="Arial"/>
                <w:sz w:val="20"/>
                <w:szCs w:val="20"/>
              </w:rPr>
              <w:t xml:space="preserve">Todas las universidades públicas a través de las </w:t>
            </w:r>
            <w:r w:rsidR="000F5348">
              <w:rPr>
                <w:rFonts w:ascii="Arial" w:hAnsi="Arial"/>
                <w:sz w:val="20"/>
                <w:szCs w:val="20"/>
              </w:rPr>
              <w:t>UF</w:t>
            </w:r>
            <w:r>
              <w:rPr>
                <w:rFonts w:ascii="Arial" w:hAnsi="Arial"/>
                <w:sz w:val="20"/>
                <w:szCs w:val="20"/>
              </w:rPr>
              <w:t xml:space="preserve"> que se encuentren registradas en el Banco de </w:t>
            </w:r>
            <w:r w:rsidR="005D5900">
              <w:rPr>
                <w:rFonts w:ascii="Arial" w:hAnsi="Arial"/>
                <w:sz w:val="20"/>
                <w:szCs w:val="20"/>
              </w:rPr>
              <w:t>Inversiones</w:t>
            </w:r>
            <w:r>
              <w:rPr>
                <w:rFonts w:ascii="Arial" w:hAnsi="Arial"/>
                <w:sz w:val="20"/>
                <w:szCs w:val="20"/>
              </w:rPr>
              <w:t xml:space="preserve"> remiten todos los años dentro del plazo establecido por la Oficina de Programación Multianual de Inversiones la información asociada a la identificación y determinación del estado situacional para que esta, la consolide y elabor</w:t>
            </w:r>
            <w:r w:rsidR="00881BC3">
              <w:rPr>
                <w:rFonts w:ascii="Arial" w:hAnsi="Arial"/>
                <w:sz w:val="20"/>
                <w:szCs w:val="20"/>
              </w:rPr>
              <w:t>e</w:t>
            </w:r>
            <w:r>
              <w:rPr>
                <w:rFonts w:ascii="Arial" w:hAnsi="Arial"/>
                <w:sz w:val="20"/>
                <w:szCs w:val="20"/>
              </w:rPr>
              <w:t xml:space="preserve"> la “</w:t>
            </w:r>
            <w:r w:rsidRPr="00F637C9">
              <w:rPr>
                <w:rFonts w:ascii="Arial" w:hAnsi="Arial"/>
                <w:sz w:val="20"/>
                <w:szCs w:val="20"/>
              </w:rPr>
              <w:t xml:space="preserve">Base de </w:t>
            </w:r>
            <w:r>
              <w:rPr>
                <w:rFonts w:ascii="Arial" w:hAnsi="Arial"/>
                <w:sz w:val="20"/>
                <w:szCs w:val="20"/>
              </w:rPr>
              <w:t>d</w:t>
            </w:r>
            <w:r w:rsidRPr="00F637C9">
              <w:rPr>
                <w:rFonts w:ascii="Arial" w:hAnsi="Arial"/>
                <w:sz w:val="20"/>
                <w:szCs w:val="20"/>
              </w:rPr>
              <w:t>atos</w:t>
            </w:r>
            <w:r>
              <w:rPr>
                <w:rFonts w:ascii="Arial" w:hAnsi="Arial"/>
                <w:sz w:val="20"/>
                <w:szCs w:val="20"/>
              </w:rPr>
              <w:t xml:space="preserve"> </w:t>
            </w:r>
            <w:r w:rsidRPr="00F637C9">
              <w:rPr>
                <w:rFonts w:ascii="Arial" w:hAnsi="Arial"/>
                <w:sz w:val="20"/>
                <w:szCs w:val="20"/>
              </w:rPr>
              <w:t xml:space="preserve">del </w:t>
            </w:r>
            <w:r>
              <w:rPr>
                <w:rFonts w:ascii="Arial" w:hAnsi="Arial"/>
                <w:sz w:val="20"/>
                <w:szCs w:val="20"/>
              </w:rPr>
              <w:t>e</w:t>
            </w:r>
            <w:r w:rsidRPr="00F637C9">
              <w:rPr>
                <w:rFonts w:ascii="Arial" w:hAnsi="Arial"/>
                <w:sz w:val="20"/>
                <w:szCs w:val="20"/>
              </w:rPr>
              <w:t>stado</w:t>
            </w:r>
            <w:r>
              <w:rPr>
                <w:rFonts w:ascii="Arial" w:hAnsi="Arial"/>
                <w:sz w:val="20"/>
                <w:szCs w:val="20"/>
              </w:rPr>
              <w:t xml:space="preserve"> de la infraestructura universitaria según las Unidades Formuladoras”.</w:t>
            </w:r>
          </w:p>
          <w:p w14:paraId="53FF7498" w14:textId="64B6F214" w:rsidR="002C6B38" w:rsidRPr="00AA771A" w:rsidRDefault="002C6B38" w:rsidP="002C6B38">
            <w:pPr>
              <w:rPr>
                <w:rFonts w:ascii="Arial" w:hAnsi="Arial" w:cs="Arial"/>
                <w:sz w:val="18"/>
                <w:szCs w:val="20"/>
              </w:rPr>
            </w:pPr>
          </w:p>
        </w:tc>
      </w:tr>
      <w:tr w:rsidR="00AA771A" w:rsidRPr="00AA771A" w14:paraId="12E7D33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63B7AED" w14:textId="6B15EA09" w:rsidR="002C6B38" w:rsidRPr="00AA771A" w:rsidRDefault="00A6796B" w:rsidP="00A6796B">
            <w:pPr>
              <w:rPr>
                <w:rFonts w:ascii="Arial" w:hAnsi="Arial" w:cs="Arial"/>
                <w:sz w:val="18"/>
                <w:szCs w:val="20"/>
              </w:rPr>
            </w:pPr>
            <w:r w:rsidRPr="00AA771A">
              <w:rPr>
                <w:rFonts w:ascii="Arial" w:hAnsi="Arial" w:cs="Arial"/>
                <w:b/>
                <w:bCs/>
                <w:szCs w:val="20"/>
              </w:rPr>
              <w:t>Limitaciones</w:t>
            </w:r>
          </w:p>
        </w:tc>
      </w:tr>
      <w:tr w:rsidR="00AA771A" w:rsidRPr="00AA771A" w14:paraId="0A5EBAC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DBEDF30" w14:textId="77777777" w:rsidR="002201A7" w:rsidRDefault="002201A7" w:rsidP="00782760">
            <w:pPr>
              <w:pStyle w:val="Prrafodelista"/>
              <w:autoSpaceDE w:val="0"/>
              <w:autoSpaceDN w:val="0"/>
              <w:jc w:val="both"/>
              <w:rPr>
                <w:rFonts w:ascii="Arial" w:hAnsi="Arial"/>
                <w:sz w:val="20"/>
                <w:szCs w:val="20"/>
              </w:rPr>
            </w:pPr>
          </w:p>
          <w:p w14:paraId="569C7541" w14:textId="4A6EF521" w:rsidR="002201A7" w:rsidRDefault="002201A7" w:rsidP="002201A7">
            <w:pPr>
              <w:pStyle w:val="Prrafodelista"/>
              <w:numPr>
                <w:ilvl w:val="0"/>
                <w:numId w:val="7"/>
              </w:numPr>
              <w:autoSpaceDE w:val="0"/>
              <w:autoSpaceDN w:val="0"/>
              <w:jc w:val="both"/>
              <w:rPr>
                <w:rFonts w:ascii="Arial" w:hAnsi="Arial"/>
                <w:sz w:val="20"/>
                <w:szCs w:val="20"/>
              </w:rPr>
            </w:pPr>
            <w:r>
              <w:rPr>
                <w:rFonts w:ascii="Arial" w:hAnsi="Arial"/>
                <w:sz w:val="20"/>
                <w:szCs w:val="20"/>
              </w:rPr>
              <w:t>La base de datos denominada “</w:t>
            </w:r>
            <w:r w:rsidRPr="00F637C9">
              <w:rPr>
                <w:rFonts w:ascii="Arial" w:hAnsi="Arial"/>
                <w:sz w:val="20"/>
                <w:szCs w:val="20"/>
              </w:rPr>
              <w:t xml:space="preserve">Base de </w:t>
            </w:r>
            <w:r>
              <w:rPr>
                <w:rFonts w:ascii="Arial" w:hAnsi="Arial"/>
                <w:sz w:val="20"/>
                <w:szCs w:val="20"/>
              </w:rPr>
              <w:t>d</w:t>
            </w:r>
            <w:r w:rsidRPr="00F637C9">
              <w:rPr>
                <w:rFonts w:ascii="Arial" w:hAnsi="Arial"/>
                <w:sz w:val="20"/>
                <w:szCs w:val="20"/>
              </w:rPr>
              <w:t>atos</w:t>
            </w:r>
            <w:r>
              <w:rPr>
                <w:rFonts w:ascii="Arial" w:hAnsi="Arial"/>
                <w:sz w:val="20"/>
                <w:szCs w:val="20"/>
              </w:rPr>
              <w:t xml:space="preserve"> </w:t>
            </w:r>
            <w:r w:rsidRPr="00F637C9">
              <w:rPr>
                <w:rFonts w:ascii="Arial" w:hAnsi="Arial"/>
                <w:sz w:val="20"/>
                <w:szCs w:val="20"/>
              </w:rPr>
              <w:t xml:space="preserve">del </w:t>
            </w:r>
            <w:r>
              <w:rPr>
                <w:rFonts w:ascii="Arial" w:hAnsi="Arial"/>
                <w:sz w:val="20"/>
                <w:szCs w:val="20"/>
              </w:rPr>
              <w:t>e</w:t>
            </w:r>
            <w:r w:rsidRPr="00F637C9">
              <w:rPr>
                <w:rFonts w:ascii="Arial" w:hAnsi="Arial"/>
                <w:sz w:val="20"/>
                <w:szCs w:val="20"/>
              </w:rPr>
              <w:t>stado</w:t>
            </w:r>
            <w:r>
              <w:rPr>
                <w:rFonts w:ascii="Arial" w:hAnsi="Arial"/>
                <w:sz w:val="20"/>
                <w:szCs w:val="20"/>
              </w:rPr>
              <w:t xml:space="preserve"> de la infraestructura universitaria según las Unidades Formuladoras” solo considera la determinación del estado situacional del factor productivo infraestructura, no considera otros factores, como equipo, mobiliario, entre otros que también contribuyan a brindar el servicio.</w:t>
            </w:r>
          </w:p>
          <w:p w14:paraId="123EB2D1" w14:textId="3EB96B64" w:rsidR="002C6B38" w:rsidRPr="00AA771A" w:rsidRDefault="002C6B38" w:rsidP="002C6B38">
            <w:pPr>
              <w:rPr>
                <w:rFonts w:ascii="Arial" w:hAnsi="Arial" w:cs="Arial"/>
                <w:sz w:val="18"/>
                <w:szCs w:val="20"/>
              </w:rPr>
            </w:pPr>
          </w:p>
        </w:tc>
      </w:tr>
      <w:tr w:rsidR="00AA771A" w:rsidRPr="00AA771A" w14:paraId="6AEBC36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2C6B38" w:rsidRPr="00AA771A" w:rsidRDefault="002C6B38" w:rsidP="002C6B38">
            <w:pPr>
              <w:rPr>
                <w:rFonts w:ascii="Arial" w:hAnsi="Arial" w:cs="Arial"/>
                <w:sz w:val="18"/>
                <w:szCs w:val="20"/>
              </w:rPr>
            </w:pPr>
            <w:r w:rsidRPr="00AA771A">
              <w:rPr>
                <w:rFonts w:ascii="Arial" w:hAnsi="Arial" w:cs="Arial"/>
                <w:b/>
                <w:bCs/>
              </w:rPr>
              <w:t>Fuente de Datos</w:t>
            </w:r>
          </w:p>
        </w:tc>
      </w:tr>
      <w:tr w:rsidR="00AA771A" w:rsidRPr="00AA771A" w14:paraId="6D005D0A"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8CF9EE0" w14:textId="77777777" w:rsidR="002201A7" w:rsidRPr="001B3721" w:rsidRDefault="002201A7" w:rsidP="002201A7">
            <w:pPr>
              <w:spacing w:before="240" w:after="120"/>
              <w:jc w:val="both"/>
              <w:rPr>
                <w:rFonts w:ascii="Arial" w:hAnsi="Arial"/>
                <w:sz w:val="20"/>
                <w:szCs w:val="20"/>
                <w:lang w:val="es-MX"/>
              </w:rPr>
            </w:pPr>
            <w:r w:rsidRPr="001B3721">
              <w:rPr>
                <w:rFonts w:ascii="Arial" w:hAnsi="Arial"/>
                <w:sz w:val="20"/>
                <w:szCs w:val="20"/>
                <w:lang w:val="es-MX"/>
              </w:rPr>
              <w:t xml:space="preserve">Responsables de </w:t>
            </w:r>
            <w:r>
              <w:rPr>
                <w:rFonts w:ascii="Arial" w:hAnsi="Arial"/>
                <w:sz w:val="20"/>
                <w:szCs w:val="20"/>
                <w:lang w:val="es-MX"/>
              </w:rPr>
              <w:t xml:space="preserve">la </w:t>
            </w:r>
            <w:r w:rsidRPr="001B3721">
              <w:rPr>
                <w:rFonts w:ascii="Arial" w:hAnsi="Arial"/>
                <w:sz w:val="20"/>
                <w:szCs w:val="20"/>
                <w:lang w:val="es-MX"/>
              </w:rPr>
              <w:t>información:</w:t>
            </w:r>
          </w:p>
          <w:p w14:paraId="000EED17" w14:textId="129986DE" w:rsidR="002201A7" w:rsidRDefault="002201A7" w:rsidP="002201A7">
            <w:pPr>
              <w:pStyle w:val="Prrafodelista"/>
              <w:numPr>
                <w:ilvl w:val="0"/>
                <w:numId w:val="7"/>
              </w:numPr>
              <w:spacing w:before="240" w:after="120"/>
              <w:jc w:val="both"/>
              <w:rPr>
                <w:rFonts w:ascii="Arial" w:hAnsi="Arial"/>
                <w:sz w:val="20"/>
                <w:szCs w:val="20"/>
                <w:lang w:val="es-MX"/>
              </w:rPr>
            </w:pPr>
            <w:r>
              <w:rPr>
                <w:rFonts w:ascii="Arial" w:hAnsi="Arial"/>
                <w:sz w:val="20"/>
                <w:szCs w:val="20"/>
                <w:lang w:val="es-MX"/>
              </w:rPr>
              <w:t>Unidades Formuladoras</w:t>
            </w:r>
            <w:r w:rsidR="000B5AB7">
              <w:rPr>
                <w:rFonts w:ascii="Arial" w:hAnsi="Arial"/>
                <w:sz w:val="20"/>
                <w:szCs w:val="20"/>
                <w:lang w:val="es-MX"/>
              </w:rPr>
              <w:t xml:space="preserve"> </w:t>
            </w:r>
            <w:r>
              <w:rPr>
                <w:rFonts w:ascii="Arial" w:hAnsi="Arial"/>
                <w:sz w:val="20"/>
                <w:szCs w:val="20"/>
                <w:lang w:val="es-MX"/>
              </w:rPr>
              <w:t xml:space="preserve">de las universidades, a través de la implementación del inventario de unidades productoras y activos estratégicos, y la Dirección General de Educación Superior Universitaria a través de su función para </w:t>
            </w:r>
            <w:r w:rsidR="00C9755F" w:rsidRPr="0028442B">
              <w:rPr>
                <w:rFonts w:ascii="Arial" w:hAnsi="Arial"/>
                <w:sz w:val="20"/>
                <w:szCs w:val="20"/>
                <w:lang w:val="es-MX"/>
              </w:rPr>
              <w:t xml:space="preserve">dirigir, coordinar, promover, efectuar el seguimiento y evaluar las políticas para el desarrollo y aseguramiento de la calidad de la </w:t>
            </w:r>
            <w:r w:rsidR="00C9755F">
              <w:rPr>
                <w:rFonts w:ascii="Arial" w:hAnsi="Arial"/>
                <w:sz w:val="20"/>
                <w:szCs w:val="20"/>
                <w:lang w:val="es-MX"/>
              </w:rPr>
              <w:t>E</w:t>
            </w:r>
            <w:r w:rsidR="00C9755F" w:rsidRPr="0028442B">
              <w:rPr>
                <w:rFonts w:ascii="Arial" w:hAnsi="Arial"/>
                <w:sz w:val="20"/>
                <w:szCs w:val="20"/>
                <w:lang w:val="es-MX"/>
              </w:rPr>
              <w:t xml:space="preserve">ducación </w:t>
            </w:r>
            <w:r w:rsidR="00C9755F">
              <w:rPr>
                <w:rFonts w:ascii="Arial" w:hAnsi="Arial"/>
                <w:sz w:val="20"/>
                <w:szCs w:val="20"/>
                <w:lang w:val="es-MX"/>
              </w:rPr>
              <w:t>S</w:t>
            </w:r>
            <w:r w:rsidR="00C9755F" w:rsidRPr="0028442B">
              <w:rPr>
                <w:rFonts w:ascii="Arial" w:hAnsi="Arial"/>
                <w:sz w:val="20"/>
                <w:szCs w:val="20"/>
                <w:lang w:val="es-MX"/>
              </w:rPr>
              <w:t xml:space="preserve">uperior </w:t>
            </w:r>
            <w:r w:rsidR="00C9755F">
              <w:rPr>
                <w:rFonts w:ascii="Arial" w:hAnsi="Arial"/>
                <w:sz w:val="20"/>
                <w:szCs w:val="20"/>
                <w:lang w:val="es-MX"/>
              </w:rPr>
              <w:t>U</w:t>
            </w:r>
            <w:r w:rsidR="00C9755F" w:rsidRPr="0028442B">
              <w:rPr>
                <w:rFonts w:ascii="Arial" w:hAnsi="Arial"/>
                <w:sz w:val="20"/>
                <w:szCs w:val="20"/>
                <w:lang w:val="es-MX"/>
              </w:rPr>
              <w:t>niversitaria, así como de proponer documentos normativos que regulen la vinculación del ministerio con las universidades públicas y privadas, y que promuevan la mejora y el uso eficaz de los recursos públicos por las universidades</w:t>
            </w:r>
            <w:r w:rsidR="00C9755F">
              <w:rPr>
                <w:rFonts w:ascii="Arial" w:hAnsi="Arial"/>
                <w:sz w:val="20"/>
                <w:szCs w:val="20"/>
                <w:lang w:val="es-MX"/>
              </w:rPr>
              <w:t>, en el marco de sus</w:t>
            </w:r>
            <w:r w:rsidR="00C9755F">
              <w:rPr>
                <w:rFonts w:ascii="Arial" w:hAnsi="Arial"/>
                <w:sz w:val="20"/>
                <w:szCs w:val="20"/>
              </w:rPr>
              <w:t xml:space="preserve"> competencias</w:t>
            </w:r>
            <w:r>
              <w:rPr>
                <w:rFonts w:ascii="Arial" w:hAnsi="Arial"/>
                <w:sz w:val="20"/>
                <w:szCs w:val="20"/>
                <w:lang w:val="es-MX"/>
              </w:rPr>
              <w:t>.</w:t>
            </w:r>
          </w:p>
          <w:p w14:paraId="57AA4C8B" w14:textId="77777777" w:rsidR="002201A7" w:rsidRDefault="002201A7" w:rsidP="002201A7">
            <w:pPr>
              <w:pStyle w:val="Prrafodelista"/>
              <w:spacing w:before="240" w:after="120"/>
              <w:jc w:val="both"/>
              <w:rPr>
                <w:rFonts w:ascii="Arial" w:hAnsi="Arial"/>
                <w:sz w:val="20"/>
                <w:szCs w:val="20"/>
                <w:lang w:val="es-MX"/>
              </w:rPr>
            </w:pPr>
          </w:p>
          <w:p w14:paraId="3B474B63" w14:textId="77777777" w:rsidR="002201A7" w:rsidRDefault="002201A7" w:rsidP="002201A7">
            <w:pPr>
              <w:pStyle w:val="Prrafodelista"/>
              <w:spacing w:before="240" w:after="120"/>
              <w:ind w:left="1068"/>
              <w:jc w:val="both"/>
              <w:rPr>
                <w:rFonts w:ascii="Arial" w:hAnsi="Arial"/>
                <w:sz w:val="20"/>
                <w:szCs w:val="20"/>
                <w:lang w:val="es-MX"/>
              </w:rPr>
            </w:pPr>
            <w:r>
              <w:rPr>
                <w:rFonts w:ascii="Arial" w:hAnsi="Arial"/>
                <w:sz w:val="20"/>
                <w:szCs w:val="20"/>
                <w:lang w:val="es-MX"/>
              </w:rPr>
              <w:t xml:space="preserve">Nombre de la base de datos: </w:t>
            </w:r>
            <w:r>
              <w:rPr>
                <w:rFonts w:ascii="Arial" w:hAnsi="Arial"/>
                <w:sz w:val="20"/>
                <w:szCs w:val="20"/>
              </w:rPr>
              <w:t>“</w:t>
            </w:r>
            <w:r w:rsidRPr="00F637C9">
              <w:rPr>
                <w:rFonts w:ascii="Arial" w:hAnsi="Arial"/>
                <w:sz w:val="20"/>
                <w:szCs w:val="20"/>
              </w:rPr>
              <w:t xml:space="preserve">Base de </w:t>
            </w:r>
            <w:r>
              <w:rPr>
                <w:rFonts w:ascii="Arial" w:hAnsi="Arial"/>
                <w:sz w:val="20"/>
                <w:szCs w:val="20"/>
              </w:rPr>
              <w:t>d</w:t>
            </w:r>
            <w:r w:rsidRPr="00F637C9">
              <w:rPr>
                <w:rFonts w:ascii="Arial" w:hAnsi="Arial"/>
                <w:sz w:val="20"/>
                <w:szCs w:val="20"/>
              </w:rPr>
              <w:t>atos</w:t>
            </w:r>
            <w:r>
              <w:rPr>
                <w:rFonts w:ascii="Arial" w:hAnsi="Arial"/>
                <w:sz w:val="20"/>
                <w:szCs w:val="20"/>
              </w:rPr>
              <w:t xml:space="preserve"> </w:t>
            </w:r>
            <w:r w:rsidRPr="00F637C9">
              <w:rPr>
                <w:rFonts w:ascii="Arial" w:hAnsi="Arial"/>
                <w:sz w:val="20"/>
                <w:szCs w:val="20"/>
              </w:rPr>
              <w:t xml:space="preserve">del </w:t>
            </w:r>
            <w:r>
              <w:rPr>
                <w:rFonts w:ascii="Arial" w:hAnsi="Arial"/>
                <w:sz w:val="20"/>
                <w:szCs w:val="20"/>
              </w:rPr>
              <w:t>e</w:t>
            </w:r>
            <w:r w:rsidRPr="00F637C9">
              <w:rPr>
                <w:rFonts w:ascii="Arial" w:hAnsi="Arial"/>
                <w:sz w:val="20"/>
                <w:szCs w:val="20"/>
              </w:rPr>
              <w:t>stado</w:t>
            </w:r>
            <w:r>
              <w:rPr>
                <w:rFonts w:ascii="Arial" w:hAnsi="Arial"/>
                <w:sz w:val="20"/>
                <w:szCs w:val="20"/>
              </w:rPr>
              <w:t xml:space="preserve"> de la infraestructura universitaria según las Unidades Formuladoras”</w:t>
            </w:r>
            <w:r w:rsidRPr="00DB6F85">
              <w:rPr>
                <w:rFonts w:ascii="Arial" w:hAnsi="Arial"/>
                <w:sz w:val="20"/>
                <w:szCs w:val="20"/>
              </w:rPr>
              <w:t>:</w:t>
            </w:r>
          </w:p>
          <w:p w14:paraId="3923E2BE" w14:textId="77777777" w:rsidR="002201A7" w:rsidRPr="0039057B" w:rsidRDefault="002201A7" w:rsidP="002201A7">
            <w:pPr>
              <w:pStyle w:val="Prrafodelista"/>
              <w:spacing w:before="240" w:after="120"/>
              <w:ind w:left="1068"/>
              <w:jc w:val="both"/>
              <w:rPr>
                <w:rFonts w:ascii="Arial" w:hAnsi="Arial"/>
                <w:sz w:val="20"/>
                <w:szCs w:val="20"/>
                <w:lang w:val="es-MX"/>
              </w:rPr>
            </w:pPr>
          </w:p>
          <w:p w14:paraId="407CB344" w14:textId="3CD00B7C" w:rsidR="00C57EB3" w:rsidRDefault="002201A7" w:rsidP="00C57EB3">
            <w:pPr>
              <w:autoSpaceDE w:val="0"/>
              <w:autoSpaceDN w:val="0"/>
              <w:jc w:val="both"/>
              <w:rPr>
                <w:rFonts w:ascii="Arial" w:hAnsi="Arial"/>
                <w:sz w:val="20"/>
                <w:szCs w:val="20"/>
              </w:rPr>
            </w:pPr>
            <w:r w:rsidRPr="001B3721">
              <w:rPr>
                <w:rFonts w:ascii="Arial" w:hAnsi="Arial"/>
                <w:sz w:val="20"/>
                <w:szCs w:val="20"/>
              </w:rPr>
              <w:t>La medición de las brechas para la Programación Multianual de Inversiones se realizará cada año con las bases de datos más actualizadas</w:t>
            </w:r>
            <w:r w:rsidRPr="001B3721">
              <w:rPr>
                <w:rFonts w:ascii="Arial" w:hAnsi="Arial"/>
                <w:sz w:val="20"/>
                <w:szCs w:val="20"/>
                <w:lang w:val="es-MX"/>
              </w:rPr>
              <w:t>.</w:t>
            </w:r>
          </w:p>
          <w:p w14:paraId="39498CAB" w14:textId="77777777" w:rsidR="002201A7" w:rsidRDefault="002201A7" w:rsidP="00C57EB3">
            <w:pPr>
              <w:autoSpaceDE w:val="0"/>
              <w:autoSpaceDN w:val="0"/>
              <w:jc w:val="both"/>
              <w:rPr>
                <w:rFonts w:ascii="Arial" w:hAnsi="Arial"/>
                <w:sz w:val="20"/>
                <w:szCs w:val="20"/>
              </w:rPr>
            </w:pPr>
          </w:p>
          <w:p w14:paraId="67230839" w14:textId="77777777" w:rsidR="00782760" w:rsidRDefault="00782760" w:rsidP="00C57EB3">
            <w:pPr>
              <w:autoSpaceDE w:val="0"/>
              <w:autoSpaceDN w:val="0"/>
              <w:jc w:val="both"/>
              <w:rPr>
                <w:rFonts w:ascii="Arial" w:hAnsi="Arial"/>
                <w:sz w:val="20"/>
                <w:szCs w:val="20"/>
              </w:rPr>
            </w:pPr>
          </w:p>
          <w:p w14:paraId="6E98837C" w14:textId="77777777" w:rsidR="00782760" w:rsidRDefault="00782760" w:rsidP="00C57EB3">
            <w:pPr>
              <w:autoSpaceDE w:val="0"/>
              <w:autoSpaceDN w:val="0"/>
              <w:jc w:val="both"/>
              <w:rPr>
                <w:rFonts w:ascii="Arial" w:hAnsi="Arial"/>
                <w:sz w:val="20"/>
                <w:szCs w:val="20"/>
              </w:rPr>
            </w:pPr>
          </w:p>
          <w:p w14:paraId="4FFB523E" w14:textId="77777777" w:rsidR="00782760" w:rsidRDefault="00782760" w:rsidP="00C57EB3">
            <w:pPr>
              <w:autoSpaceDE w:val="0"/>
              <w:autoSpaceDN w:val="0"/>
              <w:jc w:val="both"/>
              <w:rPr>
                <w:rFonts w:ascii="Arial" w:hAnsi="Arial"/>
                <w:sz w:val="20"/>
                <w:szCs w:val="20"/>
              </w:rPr>
            </w:pPr>
          </w:p>
          <w:p w14:paraId="28B61996" w14:textId="30A4E1F1" w:rsidR="00782760" w:rsidRPr="00AA771A" w:rsidRDefault="00782760" w:rsidP="00C57EB3">
            <w:pPr>
              <w:autoSpaceDE w:val="0"/>
              <w:autoSpaceDN w:val="0"/>
              <w:jc w:val="both"/>
              <w:rPr>
                <w:rFonts w:ascii="Arial" w:hAnsi="Arial"/>
                <w:sz w:val="20"/>
                <w:szCs w:val="20"/>
              </w:rPr>
            </w:pPr>
          </w:p>
        </w:tc>
      </w:tr>
      <w:tr w:rsidR="00AA771A" w:rsidRPr="00AA771A" w14:paraId="5481CE8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2C6B38" w:rsidRPr="00AA771A" w:rsidRDefault="002C6B38" w:rsidP="002C6B38">
            <w:pPr>
              <w:rPr>
                <w:rFonts w:ascii="Arial" w:hAnsi="Arial" w:cs="Arial"/>
                <w:sz w:val="18"/>
                <w:szCs w:val="20"/>
              </w:rPr>
            </w:pPr>
            <w:r w:rsidRPr="00AA771A">
              <w:rPr>
                <w:rFonts w:ascii="Arial" w:hAnsi="Arial" w:cs="Arial"/>
                <w:b/>
                <w:bCs/>
                <w:szCs w:val="20"/>
              </w:rPr>
              <w:lastRenderedPageBreak/>
              <w:t>Instrumento de Recolección de Información</w:t>
            </w:r>
          </w:p>
        </w:tc>
      </w:tr>
      <w:tr w:rsidR="00AA771A" w:rsidRPr="00AA771A" w14:paraId="75468DF2"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7C4EA3B1" w14:textId="29E18C1B" w:rsidR="002201A7" w:rsidRDefault="002201A7" w:rsidP="002201A7">
            <w:pPr>
              <w:pStyle w:val="Prrafodelista"/>
              <w:numPr>
                <w:ilvl w:val="0"/>
                <w:numId w:val="7"/>
              </w:numPr>
              <w:spacing w:before="240" w:after="120"/>
              <w:jc w:val="both"/>
              <w:rPr>
                <w:rFonts w:ascii="Arial" w:hAnsi="Arial"/>
                <w:sz w:val="20"/>
                <w:szCs w:val="20"/>
              </w:rPr>
            </w:pPr>
            <w:r w:rsidRPr="00744593">
              <w:rPr>
                <w:rFonts w:ascii="Arial" w:hAnsi="Arial"/>
                <w:sz w:val="20"/>
                <w:szCs w:val="20"/>
              </w:rPr>
              <w:t>La Unidad de Programación e Inversiones del MINEDU, en el marco de sus funciones como Oficina de Programación Multianual de Inversiones del Sector Educación a través de</w:t>
            </w:r>
            <w:r w:rsidRPr="00144229">
              <w:rPr>
                <w:rFonts w:ascii="Arial" w:hAnsi="Arial"/>
                <w:sz w:val="20"/>
                <w:szCs w:val="20"/>
              </w:rPr>
              <w:t xml:space="preserve"> la implementación del Inventario de Unidades Productoras y Activos Estratégicos realiza la elaboración de instrumentos, manuales, protocolos para la identificación y determinación del estado situacional de las unidades productoras</w:t>
            </w:r>
            <w:r>
              <w:rPr>
                <w:rFonts w:ascii="Arial" w:hAnsi="Arial"/>
                <w:sz w:val="20"/>
                <w:szCs w:val="20"/>
              </w:rPr>
              <w:t>.</w:t>
            </w:r>
            <w:r w:rsidRPr="00744593">
              <w:rPr>
                <w:rFonts w:ascii="Arial" w:hAnsi="Arial"/>
                <w:sz w:val="20"/>
                <w:szCs w:val="20"/>
              </w:rPr>
              <w:t xml:space="preserve"> </w:t>
            </w:r>
            <w:r>
              <w:rPr>
                <w:rFonts w:ascii="Arial" w:hAnsi="Arial"/>
                <w:sz w:val="20"/>
                <w:szCs w:val="20"/>
              </w:rPr>
              <w:t>A</w:t>
            </w:r>
            <w:r w:rsidRPr="00744593">
              <w:rPr>
                <w:rFonts w:ascii="Arial" w:hAnsi="Arial"/>
                <w:sz w:val="20"/>
                <w:szCs w:val="20"/>
              </w:rPr>
              <w:t>s</w:t>
            </w:r>
            <w:r w:rsidR="009F0A15">
              <w:rPr>
                <w:rFonts w:ascii="Arial" w:hAnsi="Arial"/>
                <w:sz w:val="20"/>
                <w:szCs w:val="20"/>
              </w:rPr>
              <w:t>i</w:t>
            </w:r>
            <w:r>
              <w:rPr>
                <w:rFonts w:ascii="Arial" w:hAnsi="Arial"/>
                <w:sz w:val="20"/>
                <w:szCs w:val="20"/>
              </w:rPr>
              <w:t>mismo, actualiza</w:t>
            </w:r>
            <w:r w:rsidRPr="00744593">
              <w:rPr>
                <w:rFonts w:ascii="Arial" w:hAnsi="Arial"/>
                <w:sz w:val="20"/>
                <w:szCs w:val="20"/>
              </w:rPr>
              <w:t xml:space="preserve"> </w:t>
            </w:r>
            <w:r w:rsidRPr="00144229">
              <w:rPr>
                <w:rFonts w:ascii="Arial" w:hAnsi="Arial"/>
                <w:sz w:val="20"/>
                <w:szCs w:val="20"/>
              </w:rPr>
              <w:t xml:space="preserve">de manera anual la lista de UP mediante su consolidación a través de la base de datos denominada </w:t>
            </w:r>
            <w:r>
              <w:rPr>
                <w:rFonts w:ascii="Arial" w:hAnsi="Arial"/>
                <w:sz w:val="20"/>
                <w:szCs w:val="20"/>
              </w:rPr>
              <w:t>“</w:t>
            </w:r>
            <w:r w:rsidRPr="00F637C9">
              <w:rPr>
                <w:rFonts w:ascii="Arial" w:hAnsi="Arial"/>
                <w:sz w:val="20"/>
                <w:szCs w:val="20"/>
              </w:rPr>
              <w:t xml:space="preserve">Base de </w:t>
            </w:r>
            <w:r>
              <w:rPr>
                <w:rFonts w:ascii="Arial" w:hAnsi="Arial"/>
                <w:sz w:val="20"/>
                <w:szCs w:val="20"/>
              </w:rPr>
              <w:t>d</w:t>
            </w:r>
            <w:r w:rsidRPr="00F637C9">
              <w:rPr>
                <w:rFonts w:ascii="Arial" w:hAnsi="Arial"/>
                <w:sz w:val="20"/>
                <w:szCs w:val="20"/>
              </w:rPr>
              <w:t>atos</w:t>
            </w:r>
            <w:r>
              <w:rPr>
                <w:rFonts w:ascii="Arial" w:hAnsi="Arial"/>
                <w:sz w:val="20"/>
                <w:szCs w:val="20"/>
              </w:rPr>
              <w:t xml:space="preserve"> </w:t>
            </w:r>
            <w:r w:rsidRPr="00F637C9">
              <w:rPr>
                <w:rFonts w:ascii="Arial" w:hAnsi="Arial"/>
                <w:sz w:val="20"/>
                <w:szCs w:val="20"/>
              </w:rPr>
              <w:t xml:space="preserve">del </w:t>
            </w:r>
            <w:r>
              <w:rPr>
                <w:rFonts w:ascii="Arial" w:hAnsi="Arial"/>
                <w:sz w:val="20"/>
                <w:szCs w:val="20"/>
              </w:rPr>
              <w:t>e</w:t>
            </w:r>
            <w:r w:rsidRPr="00F637C9">
              <w:rPr>
                <w:rFonts w:ascii="Arial" w:hAnsi="Arial"/>
                <w:sz w:val="20"/>
                <w:szCs w:val="20"/>
              </w:rPr>
              <w:t>stado</w:t>
            </w:r>
            <w:r>
              <w:rPr>
                <w:rFonts w:ascii="Arial" w:hAnsi="Arial"/>
                <w:sz w:val="20"/>
                <w:szCs w:val="20"/>
              </w:rPr>
              <w:t xml:space="preserve"> de la infraestructura universitaria según las Unidades Formuladoras”</w:t>
            </w:r>
            <w:r w:rsidR="00881BC3">
              <w:rPr>
                <w:rFonts w:ascii="Arial" w:hAnsi="Arial"/>
                <w:sz w:val="20"/>
                <w:szCs w:val="20"/>
              </w:rPr>
              <w:t>.</w:t>
            </w:r>
          </w:p>
          <w:p w14:paraId="3344E65F" w14:textId="187C6E0C" w:rsidR="00C57EB3" w:rsidRPr="00782760" w:rsidRDefault="00C57EB3" w:rsidP="00C57EB3">
            <w:pPr>
              <w:autoSpaceDE w:val="0"/>
              <w:autoSpaceDN w:val="0"/>
              <w:jc w:val="both"/>
              <w:rPr>
                <w:rFonts w:ascii="Arial" w:hAnsi="Arial"/>
                <w:sz w:val="20"/>
                <w:szCs w:val="20"/>
              </w:rPr>
            </w:pPr>
          </w:p>
        </w:tc>
      </w:tr>
      <w:bookmarkEnd w:id="0"/>
      <w:bookmarkEnd w:id="1"/>
    </w:tbl>
    <w:p w14:paraId="615CBBEE" w14:textId="1C7D0672" w:rsidR="00076082" w:rsidRPr="00DB180C" w:rsidRDefault="00076082" w:rsidP="009F6EE7">
      <w:pPr>
        <w:spacing w:after="120" w:line="240" w:lineRule="auto"/>
        <w:jc w:val="both"/>
        <w:rPr>
          <w:color w:val="FF0000"/>
          <w:sz w:val="18"/>
        </w:rPr>
      </w:pPr>
    </w:p>
    <w:sectPr w:rsidR="00076082" w:rsidRPr="00DB180C"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4106F" w14:textId="77777777" w:rsidR="00CE398D" w:rsidRDefault="00CE398D" w:rsidP="00020DDF">
      <w:pPr>
        <w:spacing w:after="0" w:line="240" w:lineRule="auto"/>
      </w:pPr>
      <w:r>
        <w:separator/>
      </w:r>
    </w:p>
  </w:endnote>
  <w:endnote w:type="continuationSeparator" w:id="0">
    <w:p w14:paraId="7EC8F3F5" w14:textId="77777777" w:rsidR="00CE398D" w:rsidRDefault="00CE398D"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8692E" w14:textId="77777777" w:rsidR="00CE398D" w:rsidRDefault="00CE398D" w:rsidP="00020DDF">
      <w:pPr>
        <w:spacing w:after="0" w:line="240" w:lineRule="auto"/>
      </w:pPr>
      <w:r>
        <w:separator/>
      </w:r>
    </w:p>
  </w:footnote>
  <w:footnote w:type="continuationSeparator" w:id="0">
    <w:p w14:paraId="74332BA5" w14:textId="77777777" w:rsidR="00CE398D" w:rsidRDefault="00CE398D" w:rsidP="00020DDF">
      <w:pPr>
        <w:spacing w:after="0" w:line="240" w:lineRule="auto"/>
      </w:pPr>
      <w:r>
        <w:continuationSeparator/>
      </w:r>
    </w:p>
  </w:footnote>
  <w:footnote w:id="1">
    <w:p w14:paraId="4FB3B4E8" w14:textId="1D26F91A" w:rsidR="00326B92" w:rsidRDefault="00326B92">
      <w:pPr>
        <w:pStyle w:val="Textonotapie"/>
      </w:pPr>
      <w:r>
        <w:rPr>
          <w:rStyle w:val="Refdenotaalpie"/>
        </w:rPr>
        <w:footnoteRef/>
      </w:r>
      <w:r>
        <w:t xml:space="preserve"> </w:t>
      </w:r>
      <w:r>
        <w:rPr>
          <w:rFonts w:ascii="Arial" w:hAnsi="Arial"/>
          <w:sz w:val="16"/>
          <w:szCs w:val="16"/>
        </w:rPr>
        <w:t xml:space="preserve">Art. 6. de la Ley </w:t>
      </w:r>
      <w:proofErr w:type="spellStart"/>
      <w:r>
        <w:rPr>
          <w:rFonts w:ascii="Arial" w:hAnsi="Arial"/>
          <w:sz w:val="16"/>
          <w:szCs w:val="16"/>
        </w:rPr>
        <w:t>N°</w:t>
      </w:r>
      <w:proofErr w:type="spellEnd"/>
      <w:r>
        <w:rPr>
          <w:rFonts w:ascii="Arial" w:hAnsi="Arial"/>
          <w:sz w:val="16"/>
          <w:szCs w:val="16"/>
        </w:rPr>
        <w:t xml:space="preserve"> 30220, Ley Universitaria.</w:t>
      </w:r>
    </w:p>
  </w:footnote>
  <w:footnote w:id="2">
    <w:p w14:paraId="1076C746" w14:textId="6EFA8475" w:rsidR="00E15B1F" w:rsidRDefault="00E15B1F" w:rsidP="00E15B1F">
      <w:pPr>
        <w:pStyle w:val="Textonotapie"/>
      </w:pPr>
      <w:r>
        <w:rPr>
          <w:rStyle w:val="Refdenotaalpie"/>
        </w:rPr>
        <w:footnoteRef/>
      </w:r>
      <w:r>
        <w:t xml:space="preserve"> </w:t>
      </w:r>
      <w:r w:rsidRPr="003B21BA">
        <w:rPr>
          <w:rFonts w:ascii="Arial" w:hAnsi="Arial"/>
          <w:sz w:val="16"/>
          <w:szCs w:val="16"/>
        </w:rPr>
        <w:t xml:space="preserve">Porcentaje de Centros de Extensión Cultural, Proyección Social y Educación Continua </w:t>
      </w:r>
      <w:r>
        <w:rPr>
          <w:rFonts w:ascii="Arial" w:hAnsi="Arial"/>
          <w:sz w:val="16"/>
          <w:szCs w:val="16"/>
        </w:rPr>
        <w:t xml:space="preserve">en las universidades públicas en </w:t>
      </w:r>
      <w:r w:rsidR="004C23D9">
        <w:rPr>
          <w:rFonts w:ascii="Arial" w:hAnsi="Arial"/>
          <w:sz w:val="16"/>
          <w:szCs w:val="16"/>
        </w:rPr>
        <w:t>condiciones</w:t>
      </w:r>
      <w:r w:rsidRPr="003B21BA">
        <w:rPr>
          <w:rFonts w:ascii="Arial" w:hAnsi="Arial"/>
          <w:sz w:val="16"/>
          <w:szCs w:val="16"/>
        </w:rPr>
        <w:t xml:space="preserve"> inadecuad</w:t>
      </w:r>
      <w:r w:rsidR="004C23D9">
        <w:rPr>
          <w:rFonts w:ascii="Arial" w:hAnsi="Arial"/>
          <w:sz w:val="16"/>
          <w:szCs w:val="16"/>
        </w:rPr>
        <w:t>as</w:t>
      </w:r>
    </w:p>
  </w:footnote>
  <w:footnote w:id="3">
    <w:p w14:paraId="7B52B56B" w14:textId="77777777" w:rsidR="00E15B1F" w:rsidRDefault="00E15B1F" w:rsidP="00E15B1F">
      <w:pPr>
        <w:pStyle w:val="Textonotapie"/>
      </w:pPr>
      <w:r>
        <w:rPr>
          <w:rStyle w:val="Refdenotaalpie"/>
        </w:rPr>
        <w:footnoteRef/>
      </w:r>
      <w:r>
        <w:t xml:space="preserve"> </w:t>
      </w:r>
      <w:r w:rsidRPr="0096791E">
        <w:rPr>
          <w:rFonts w:ascii="Arial" w:hAnsi="Arial"/>
          <w:sz w:val="16"/>
          <w:szCs w:val="16"/>
        </w:rPr>
        <w:t>Indicador de brecha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6CEC"/>
    <w:multiLevelType w:val="hybridMultilevel"/>
    <w:tmpl w:val="07C42B32"/>
    <w:lvl w:ilvl="0" w:tplc="4D32E9C0">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 w15:restartNumberingAfterBreak="0">
    <w:nsid w:val="0229075B"/>
    <w:multiLevelType w:val="hybridMultilevel"/>
    <w:tmpl w:val="E20810F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7A66B7"/>
    <w:multiLevelType w:val="hybridMultilevel"/>
    <w:tmpl w:val="93BC36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735B92"/>
    <w:multiLevelType w:val="hybridMultilevel"/>
    <w:tmpl w:val="6B5AE38C"/>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C4D4F"/>
    <w:multiLevelType w:val="hybridMultilevel"/>
    <w:tmpl w:val="1E7E1F7A"/>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29A011B0"/>
    <w:multiLevelType w:val="hybridMultilevel"/>
    <w:tmpl w:val="90440F1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AA61A2"/>
    <w:multiLevelType w:val="hybridMultilevel"/>
    <w:tmpl w:val="11707D0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 w15:restartNumberingAfterBreak="0">
    <w:nsid w:val="39F22A64"/>
    <w:multiLevelType w:val="hybridMultilevel"/>
    <w:tmpl w:val="804EB3AA"/>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C147A46"/>
    <w:multiLevelType w:val="hybridMultilevel"/>
    <w:tmpl w:val="269E04C8"/>
    <w:lvl w:ilvl="0" w:tplc="280A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3E089F"/>
    <w:multiLevelType w:val="hybridMultilevel"/>
    <w:tmpl w:val="E9B2053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7F13C8C"/>
    <w:multiLevelType w:val="hybridMultilevel"/>
    <w:tmpl w:val="26C815D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8424CED"/>
    <w:multiLevelType w:val="hybridMultilevel"/>
    <w:tmpl w:val="C2D29E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DB01521"/>
    <w:multiLevelType w:val="hybridMultilevel"/>
    <w:tmpl w:val="947252AE"/>
    <w:lvl w:ilvl="0" w:tplc="280A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AB2EC7"/>
    <w:multiLevelType w:val="hybridMultilevel"/>
    <w:tmpl w:val="78A4951E"/>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5B2E9E"/>
    <w:multiLevelType w:val="hybridMultilevel"/>
    <w:tmpl w:val="D61EEEE8"/>
    <w:lvl w:ilvl="0" w:tplc="28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609E4F04"/>
    <w:multiLevelType w:val="hybridMultilevel"/>
    <w:tmpl w:val="D688BEE4"/>
    <w:lvl w:ilvl="0" w:tplc="28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701128"/>
    <w:multiLevelType w:val="hybridMultilevel"/>
    <w:tmpl w:val="993E6BF4"/>
    <w:lvl w:ilvl="0" w:tplc="2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4FE431C"/>
    <w:multiLevelType w:val="hybridMultilevel"/>
    <w:tmpl w:val="B0AE81E8"/>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65B3"/>
    <w:multiLevelType w:val="hybridMultilevel"/>
    <w:tmpl w:val="AA748EE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C927390"/>
    <w:multiLevelType w:val="hybridMultilevel"/>
    <w:tmpl w:val="55F63E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D44285A"/>
    <w:multiLevelType w:val="hybridMultilevel"/>
    <w:tmpl w:val="9C0029B0"/>
    <w:lvl w:ilvl="0" w:tplc="28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8666E8"/>
    <w:multiLevelType w:val="hybridMultilevel"/>
    <w:tmpl w:val="43B01E72"/>
    <w:lvl w:ilvl="0" w:tplc="280A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5D5E82"/>
    <w:multiLevelType w:val="hybridMultilevel"/>
    <w:tmpl w:val="D8C219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C36950"/>
    <w:multiLevelType w:val="hybridMultilevel"/>
    <w:tmpl w:val="FCD404AA"/>
    <w:lvl w:ilvl="0" w:tplc="2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7430B22"/>
    <w:multiLevelType w:val="hybridMultilevel"/>
    <w:tmpl w:val="7D9060B0"/>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8BB7D72"/>
    <w:multiLevelType w:val="hybridMultilevel"/>
    <w:tmpl w:val="B018288E"/>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588536224">
    <w:abstractNumId w:val="12"/>
  </w:num>
  <w:num w:numId="2" w16cid:durableId="1813061066">
    <w:abstractNumId w:val="8"/>
  </w:num>
  <w:num w:numId="3" w16cid:durableId="749738844">
    <w:abstractNumId w:val="5"/>
  </w:num>
  <w:num w:numId="4" w16cid:durableId="1994134863">
    <w:abstractNumId w:val="29"/>
  </w:num>
  <w:num w:numId="5" w16cid:durableId="349994820">
    <w:abstractNumId w:val="19"/>
  </w:num>
  <w:num w:numId="6" w16cid:durableId="1210874520">
    <w:abstractNumId w:val="11"/>
  </w:num>
  <w:num w:numId="7" w16cid:durableId="1741632942">
    <w:abstractNumId w:val="17"/>
  </w:num>
  <w:num w:numId="8" w16cid:durableId="1723405871">
    <w:abstractNumId w:val="27"/>
  </w:num>
  <w:num w:numId="9" w16cid:durableId="1337146391">
    <w:abstractNumId w:val="4"/>
  </w:num>
  <w:num w:numId="10" w16cid:durableId="2032338964">
    <w:abstractNumId w:val="3"/>
  </w:num>
  <w:num w:numId="11" w16cid:durableId="1454324914">
    <w:abstractNumId w:val="13"/>
  </w:num>
  <w:num w:numId="12" w16cid:durableId="2081706373">
    <w:abstractNumId w:val="26"/>
  </w:num>
  <w:num w:numId="13" w16cid:durableId="784547125">
    <w:abstractNumId w:val="23"/>
  </w:num>
  <w:num w:numId="14" w16cid:durableId="1171676239">
    <w:abstractNumId w:val="22"/>
  </w:num>
  <w:num w:numId="15" w16cid:durableId="782460431">
    <w:abstractNumId w:val="6"/>
  </w:num>
  <w:num w:numId="16" w16cid:durableId="1447001654">
    <w:abstractNumId w:val="18"/>
  </w:num>
  <w:num w:numId="17" w16cid:durableId="1499420571">
    <w:abstractNumId w:val="30"/>
  </w:num>
  <w:num w:numId="18" w16cid:durableId="1436560658">
    <w:abstractNumId w:val="28"/>
  </w:num>
  <w:num w:numId="19" w16cid:durableId="2048097996">
    <w:abstractNumId w:val="9"/>
  </w:num>
  <w:num w:numId="20" w16cid:durableId="1861894217">
    <w:abstractNumId w:val="10"/>
  </w:num>
  <w:num w:numId="21" w16cid:durableId="2062745915">
    <w:abstractNumId w:val="2"/>
  </w:num>
  <w:num w:numId="22" w16cid:durableId="960528337">
    <w:abstractNumId w:val="25"/>
  </w:num>
  <w:num w:numId="23" w16cid:durableId="1972006977">
    <w:abstractNumId w:val="16"/>
  </w:num>
  <w:num w:numId="24" w16cid:durableId="1865290650">
    <w:abstractNumId w:val="15"/>
  </w:num>
  <w:num w:numId="25" w16cid:durableId="661278594">
    <w:abstractNumId w:val="20"/>
  </w:num>
  <w:num w:numId="26" w16cid:durableId="70393494">
    <w:abstractNumId w:val="1"/>
  </w:num>
  <w:num w:numId="27" w16cid:durableId="2010869257">
    <w:abstractNumId w:val="21"/>
  </w:num>
  <w:num w:numId="28" w16cid:durableId="169033261">
    <w:abstractNumId w:val="0"/>
  </w:num>
  <w:num w:numId="29" w16cid:durableId="931930618">
    <w:abstractNumId w:val="31"/>
  </w:num>
  <w:num w:numId="30" w16cid:durableId="495998654">
    <w:abstractNumId w:val="14"/>
  </w:num>
  <w:num w:numId="31" w16cid:durableId="1937244955">
    <w:abstractNumId w:val="24"/>
  </w:num>
  <w:num w:numId="32" w16cid:durableId="9520578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20DDF"/>
    <w:rsid w:val="0003669C"/>
    <w:rsid w:val="00045EB3"/>
    <w:rsid w:val="000508FD"/>
    <w:rsid w:val="000573C2"/>
    <w:rsid w:val="00065771"/>
    <w:rsid w:val="00071462"/>
    <w:rsid w:val="00076082"/>
    <w:rsid w:val="000B5AB7"/>
    <w:rsid w:val="000B702B"/>
    <w:rsid w:val="000C10E2"/>
    <w:rsid w:val="000F5348"/>
    <w:rsid w:val="000F784E"/>
    <w:rsid w:val="001056C9"/>
    <w:rsid w:val="00106D45"/>
    <w:rsid w:val="001125DA"/>
    <w:rsid w:val="00142865"/>
    <w:rsid w:val="00155F72"/>
    <w:rsid w:val="0015653C"/>
    <w:rsid w:val="001569C9"/>
    <w:rsid w:val="00162C09"/>
    <w:rsid w:val="00167202"/>
    <w:rsid w:val="00171EB6"/>
    <w:rsid w:val="0019383D"/>
    <w:rsid w:val="001A24B5"/>
    <w:rsid w:val="001C16C9"/>
    <w:rsid w:val="001C36DA"/>
    <w:rsid w:val="001D5D9B"/>
    <w:rsid w:val="001E53BF"/>
    <w:rsid w:val="001E666F"/>
    <w:rsid w:val="001F59BD"/>
    <w:rsid w:val="00201772"/>
    <w:rsid w:val="00204BC9"/>
    <w:rsid w:val="00215A43"/>
    <w:rsid w:val="002175A0"/>
    <w:rsid w:val="002201A7"/>
    <w:rsid w:val="002352E0"/>
    <w:rsid w:val="00246044"/>
    <w:rsid w:val="002512EA"/>
    <w:rsid w:val="0026508A"/>
    <w:rsid w:val="00266412"/>
    <w:rsid w:val="00293BB3"/>
    <w:rsid w:val="002C6B38"/>
    <w:rsid w:val="002D244C"/>
    <w:rsid w:val="002F34A2"/>
    <w:rsid w:val="0030016D"/>
    <w:rsid w:val="00325B1B"/>
    <w:rsid w:val="003261A2"/>
    <w:rsid w:val="00326B92"/>
    <w:rsid w:val="00357844"/>
    <w:rsid w:val="00367A00"/>
    <w:rsid w:val="00373F00"/>
    <w:rsid w:val="003B21BA"/>
    <w:rsid w:val="003B5C44"/>
    <w:rsid w:val="003C21ED"/>
    <w:rsid w:val="003C33F5"/>
    <w:rsid w:val="003D3017"/>
    <w:rsid w:val="003D5CA5"/>
    <w:rsid w:val="003E1B59"/>
    <w:rsid w:val="003E3225"/>
    <w:rsid w:val="003E3E91"/>
    <w:rsid w:val="003E4580"/>
    <w:rsid w:val="003F22A5"/>
    <w:rsid w:val="003F69BC"/>
    <w:rsid w:val="004059F9"/>
    <w:rsid w:val="00421284"/>
    <w:rsid w:val="00434142"/>
    <w:rsid w:val="00442BBE"/>
    <w:rsid w:val="00445B84"/>
    <w:rsid w:val="0045134B"/>
    <w:rsid w:val="004530D3"/>
    <w:rsid w:val="00486FC7"/>
    <w:rsid w:val="004A211F"/>
    <w:rsid w:val="004B0AA4"/>
    <w:rsid w:val="004B73EC"/>
    <w:rsid w:val="004C23D9"/>
    <w:rsid w:val="004C4331"/>
    <w:rsid w:val="004D2231"/>
    <w:rsid w:val="004E3726"/>
    <w:rsid w:val="004E552A"/>
    <w:rsid w:val="00501759"/>
    <w:rsid w:val="0050332F"/>
    <w:rsid w:val="005252CF"/>
    <w:rsid w:val="00546E2F"/>
    <w:rsid w:val="00562508"/>
    <w:rsid w:val="00573060"/>
    <w:rsid w:val="00575D7A"/>
    <w:rsid w:val="00592340"/>
    <w:rsid w:val="005A23AD"/>
    <w:rsid w:val="005C15A3"/>
    <w:rsid w:val="005C4436"/>
    <w:rsid w:val="005D5900"/>
    <w:rsid w:val="005E2882"/>
    <w:rsid w:val="005F2039"/>
    <w:rsid w:val="00616C93"/>
    <w:rsid w:val="00637FF0"/>
    <w:rsid w:val="00670009"/>
    <w:rsid w:val="00686F75"/>
    <w:rsid w:val="006A5398"/>
    <w:rsid w:val="007061A0"/>
    <w:rsid w:val="0071473B"/>
    <w:rsid w:val="00714A93"/>
    <w:rsid w:val="007236D7"/>
    <w:rsid w:val="00746EB6"/>
    <w:rsid w:val="007523AF"/>
    <w:rsid w:val="007769F6"/>
    <w:rsid w:val="00782760"/>
    <w:rsid w:val="00785D71"/>
    <w:rsid w:val="00791B39"/>
    <w:rsid w:val="00791F61"/>
    <w:rsid w:val="007C4F1D"/>
    <w:rsid w:val="007E5285"/>
    <w:rsid w:val="00806383"/>
    <w:rsid w:val="00814517"/>
    <w:rsid w:val="0084371A"/>
    <w:rsid w:val="00847FB8"/>
    <w:rsid w:val="0085415B"/>
    <w:rsid w:val="00857A72"/>
    <w:rsid w:val="008648DC"/>
    <w:rsid w:val="00871BC1"/>
    <w:rsid w:val="008819C3"/>
    <w:rsid w:val="00881BC3"/>
    <w:rsid w:val="008853C5"/>
    <w:rsid w:val="00890B8F"/>
    <w:rsid w:val="00895F27"/>
    <w:rsid w:val="008973CE"/>
    <w:rsid w:val="008A2BF7"/>
    <w:rsid w:val="008C2AC8"/>
    <w:rsid w:val="008E10DB"/>
    <w:rsid w:val="008E38B9"/>
    <w:rsid w:val="008E6B4E"/>
    <w:rsid w:val="008F534B"/>
    <w:rsid w:val="008F73FA"/>
    <w:rsid w:val="009002FB"/>
    <w:rsid w:val="00906072"/>
    <w:rsid w:val="009437D5"/>
    <w:rsid w:val="00960D24"/>
    <w:rsid w:val="009736FF"/>
    <w:rsid w:val="00983082"/>
    <w:rsid w:val="0099799F"/>
    <w:rsid w:val="009B732B"/>
    <w:rsid w:val="009D00E4"/>
    <w:rsid w:val="009E6B4A"/>
    <w:rsid w:val="009F0A15"/>
    <w:rsid w:val="009F4C6C"/>
    <w:rsid w:val="009F6EE7"/>
    <w:rsid w:val="00A12FCA"/>
    <w:rsid w:val="00A14B56"/>
    <w:rsid w:val="00A158EB"/>
    <w:rsid w:val="00A26138"/>
    <w:rsid w:val="00A42A6D"/>
    <w:rsid w:val="00A6796B"/>
    <w:rsid w:val="00A71559"/>
    <w:rsid w:val="00A85514"/>
    <w:rsid w:val="00A93168"/>
    <w:rsid w:val="00AA771A"/>
    <w:rsid w:val="00AB0037"/>
    <w:rsid w:val="00AB3CA7"/>
    <w:rsid w:val="00AC6B83"/>
    <w:rsid w:val="00AD49F8"/>
    <w:rsid w:val="00AD7034"/>
    <w:rsid w:val="00AD7B5E"/>
    <w:rsid w:val="00B0596B"/>
    <w:rsid w:val="00B204D1"/>
    <w:rsid w:val="00B3010B"/>
    <w:rsid w:val="00B41C15"/>
    <w:rsid w:val="00B4744E"/>
    <w:rsid w:val="00B50C99"/>
    <w:rsid w:val="00B730CF"/>
    <w:rsid w:val="00B771B8"/>
    <w:rsid w:val="00B9559A"/>
    <w:rsid w:val="00B96A9B"/>
    <w:rsid w:val="00BA7B47"/>
    <w:rsid w:val="00BB1EA9"/>
    <w:rsid w:val="00BB67DB"/>
    <w:rsid w:val="00BC367A"/>
    <w:rsid w:val="00BF1A66"/>
    <w:rsid w:val="00C1227D"/>
    <w:rsid w:val="00C15DC8"/>
    <w:rsid w:val="00C1645D"/>
    <w:rsid w:val="00C35814"/>
    <w:rsid w:val="00C40975"/>
    <w:rsid w:val="00C422C0"/>
    <w:rsid w:val="00C46B78"/>
    <w:rsid w:val="00C560A8"/>
    <w:rsid w:val="00C56226"/>
    <w:rsid w:val="00C57EB3"/>
    <w:rsid w:val="00C6406B"/>
    <w:rsid w:val="00C72BBA"/>
    <w:rsid w:val="00C73B6D"/>
    <w:rsid w:val="00C9755F"/>
    <w:rsid w:val="00CA1718"/>
    <w:rsid w:val="00CA7D46"/>
    <w:rsid w:val="00CD18F5"/>
    <w:rsid w:val="00CE02AD"/>
    <w:rsid w:val="00CE066F"/>
    <w:rsid w:val="00CE2DB2"/>
    <w:rsid w:val="00CE398D"/>
    <w:rsid w:val="00D065BA"/>
    <w:rsid w:val="00D11639"/>
    <w:rsid w:val="00D16AA9"/>
    <w:rsid w:val="00D25D74"/>
    <w:rsid w:val="00D51452"/>
    <w:rsid w:val="00D55E0A"/>
    <w:rsid w:val="00D57631"/>
    <w:rsid w:val="00D65129"/>
    <w:rsid w:val="00D67CD6"/>
    <w:rsid w:val="00D70339"/>
    <w:rsid w:val="00D93115"/>
    <w:rsid w:val="00DB180C"/>
    <w:rsid w:val="00DB4C71"/>
    <w:rsid w:val="00DC436B"/>
    <w:rsid w:val="00DE2D8A"/>
    <w:rsid w:val="00DF1A12"/>
    <w:rsid w:val="00E01366"/>
    <w:rsid w:val="00E06F2E"/>
    <w:rsid w:val="00E11D2F"/>
    <w:rsid w:val="00E14782"/>
    <w:rsid w:val="00E15B1F"/>
    <w:rsid w:val="00E2011E"/>
    <w:rsid w:val="00E5234F"/>
    <w:rsid w:val="00E57BA7"/>
    <w:rsid w:val="00E848B3"/>
    <w:rsid w:val="00E9602D"/>
    <w:rsid w:val="00EA344F"/>
    <w:rsid w:val="00EB2441"/>
    <w:rsid w:val="00EC0DE3"/>
    <w:rsid w:val="00EF460E"/>
    <w:rsid w:val="00EF7C8F"/>
    <w:rsid w:val="00F6484A"/>
    <w:rsid w:val="00F73883"/>
    <w:rsid w:val="00F76915"/>
    <w:rsid w:val="00F82D3D"/>
    <w:rsid w:val="00F845DE"/>
    <w:rsid w:val="00F91C12"/>
    <w:rsid w:val="00FA37E3"/>
    <w:rsid w:val="00FB441D"/>
    <w:rsid w:val="00FC13DB"/>
    <w:rsid w:val="00FC7D43"/>
    <w:rsid w:val="00FD23E6"/>
    <w:rsid w:val="00FD50DB"/>
    <w:rsid w:val="00FD759C"/>
    <w:rsid w:val="00FE742C"/>
    <w:rsid w:val="00FF384E"/>
    <w:rsid w:val="00FF657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8D52F518-F4EA-4E35-9480-86826AF1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SubPárrafo de lista,TITULO A,Titulo de Fígura,Conclusiones,paul2,Cuadro 2-1,Iz - Párrafo de lista,Sivsa Parrafo"/>
    <w:basedOn w:val="Normal"/>
    <w:link w:val="PrrafodelistaCar"/>
    <w:uiPriority w:val="34"/>
    <w:qFormat/>
    <w:rsid w:val="003E3E91"/>
    <w:pPr>
      <w:ind w:left="720"/>
      <w:contextualSpacing/>
    </w:pPr>
  </w:style>
  <w:style w:type="paragraph" w:styleId="Textonotapie">
    <w:name w:val="footnote text"/>
    <w:basedOn w:val="Normal"/>
    <w:link w:val="TextonotapieCar"/>
    <w:uiPriority w:val="99"/>
    <w:semiHidden/>
    <w:unhideWhenUsed/>
    <w:rsid w:val="00020DDF"/>
    <w:pPr>
      <w:spacing w:after="0" w:line="240" w:lineRule="auto"/>
    </w:pPr>
    <w:rPr>
      <w:rFonts w:ascii="Calibri" w:eastAsia="Calibri" w:hAnsi="Calibri" w:cs="Arial"/>
      <w:sz w:val="20"/>
      <w:szCs w:val="20"/>
      <w:lang w:val="es-ES"/>
    </w:rPr>
  </w:style>
  <w:style w:type="character" w:customStyle="1" w:styleId="TextonotapieCar">
    <w:name w:val="Texto nota pie Car"/>
    <w:basedOn w:val="Fuentedeprrafopredeter"/>
    <w:link w:val="Textonotapie"/>
    <w:uiPriority w:val="99"/>
    <w:semiHidden/>
    <w:rsid w:val="00020DDF"/>
    <w:rPr>
      <w:rFonts w:ascii="Calibri" w:eastAsia="Calibri" w:hAnsi="Calibri" w:cs="Arial"/>
      <w:sz w:val="20"/>
      <w:szCs w:val="20"/>
      <w:lang w:val="es-ES"/>
    </w:rPr>
  </w:style>
  <w:style w:type="character" w:styleId="Refdenotaalpie">
    <w:name w:val="footnote reference"/>
    <w:uiPriority w:val="99"/>
    <w:semiHidden/>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aliases w:val="Bulleted List Car,Fundamentacion Car,SubPárrafo de lista Car,TITULO A Car,Titulo de Fígura Car,Conclusiones Car,paul2 Car,Cuadro 2-1 Car,Iz - Párrafo de lista Car,Sivsa Parrafo Car"/>
    <w:link w:val="Prrafodelista"/>
    <w:uiPriority w:val="34"/>
    <w:locked/>
    <w:rsid w:val="009437D5"/>
  </w:style>
  <w:style w:type="paragraph" w:styleId="NormalWeb">
    <w:name w:val="Normal (Web)"/>
    <w:basedOn w:val="Normal"/>
    <w:uiPriority w:val="99"/>
    <w:unhideWhenUsed/>
    <w:rsid w:val="00155F72"/>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yiv8864493563msolistparagraph">
    <w:name w:val="yiv8864493563msolistparagraph"/>
    <w:basedOn w:val="Normal"/>
    <w:rsid w:val="00E14782"/>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Refdecomentario">
    <w:name w:val="annotation reference"/>
    <w:basedOn w:val="Fuentedeprrafopredeter"/>
    <w:uiPriority w:val="99"/>
    <w:semiHidden/>
    <w:unhideWhenUsed/>
    <w:rsid w:val="00881BC3"/>
    <w:rPr>
      <w:sz w:val="16"/>
      <w:szCs w:val="16"/>
    </w:rPr>
  </w:style>
  <w:style w:type="paragraph" w:styleId="Textocomentario">
    <w:name w:val="annotation text"/>
    <w:basedOn w:val="Normal"/>
    <w:link w:val="TextocomentarioCar"/>
    <w:uiPriority w:val="99"/>
    <w:unhideWhenUsed/>
    <w:rsid w:val="00881BC3"/>
    <w:pPr>
      <w:spacing w:line="240" w:lineRule="auto"/>
    </w:pPr>
    <w:rPr>
      <w:sz w:val="20"/>
      <w:szCs w:val="20"/>
    </w:rPr>
  </w:style>
  <w:style w:type="character" w:customStyle="1" w:styleId="TextocomentarioCar">
    <w:name w:val="Texto comentario Car"/>
    <w:basedOn w:val="Fuentedeprrafopredeter"/>
    <w:link w:val="Textocomentario"/>
    <w:uiPriority w:val="99"/>
    <w:rsid w:val="00881BC3"/>
    <w:rPr>
      <w:sz w:val="20"/>
      <w:szCs w:val="20"/>
    </w:rPr>
  </w:style>
  <w:style w:type="paragraph" w:styleId="Asuntodelcomentario">
    <w:name w:val="annotation subject"/>
    <w:basedOn w:val="Textocomentario"/>
    <w:next w:val="Textocomentario"/>
    <w:link w:val="AsuntodelcomentarioCar"/>
    <w:uiPriority w:val="99"/>
    <w:semiHidden/>
    <w:unhideWhenUsed/>
    <w:rsid w:val="00881BC3"/>
    <w:rPr>
      <w:b/>
      <w:bCs/>
    </w:rPr>
  </w:style>
  <w:style w:type="character" w:customStyle="1" w:styleId="AsuntodelcomentarioCar">
    <w:name w:val="Asunto del comentario Car"/>
    <w:basedOn w:val="TextocomentarioCar"/>
    <w:link w:val="Asuntodelcomentario"/>
    <w:uiPriority w:val="99"/>
    <w:semiHidden/>
    <w:rsid w:val="00881BC3"/>
    <w:rPr>
      <w:b/>
      <w:bCs/>
      <w:sz w:val="20"/>
      <w:szCs w:val="20"/>
    </w:rPr>
  </w:style>
  <w:style w:type="paragraph" w:styleId="Revisin">
    <w:name w:val="Revision"/>
    <w:hidden/>
    <w:uiPriority w:val="99"/>
    <w:semiHidden/>
    <w:rsid w:val="00E15B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5</Pages>
  <Words>1978</Words>
  <Characters>10884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Velasco Arce, Manuel Bernabé</cp:lastModifiedBy>
  <cp:revision>94</cp:revision>
  <dcterms:created xsi:type="dcterms:W3CDTF">2022-12-01T20:53:00Z</dcterms:created>
  <dcterms:modified xsi:type="dcterms:W3CDTF">2025-06-16T14:08:00Z</dcterms:modified>
</cp:coreProperties>
</file>